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color w:val="auto"/>
          <w:sz w:val="36"/>
          <w:szCs w:val="36"/>
        </w:rPr>
      </w:pPr>
      <w:r>
        <w:rPr>
          <w:rFonts w:hint="eastAsia" w:ascii="宋体" w:hAnsi="宋体"/>
          <w:b/>
          <w:color w:val="auto"/>
          <w:sz w:val="36"/>
          <w:szCs w:val="36"/>
        </w:rPr>
        <w:t>毕业论文开题报告（文科类）</w:t>
      </w:r>
    </w:p>
    <w:tbl>
      <w:tblPr>
        <w:tblStyle w:val="5"/>
        <w:tblW w:w="88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546"/>
        <w:gridCol w:w="848"/>
        <w:gridCol w:w="220"/>
        <w:gridCol w:w="650"/>
        <w:gridCol w:w="408"/>
        <w:gridCol w:w="1204"/>
        <w:gridCol w:w="638"/>
        <w:gridCol w:w="712"/>
        <w:gridCol w:w="506"/>
        <w:gridCol w:w="507"/>
        <w:gridCol w:w="402"/>
        <w:gridCol w:w="284"/>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270" w:type="dxa"/>
            <w:gridSpan w:val="2"/>
          </w:tcPr>
          <w:p>
            <w:pPr>
              <w:spacing w:line="360" w:lineRule="exact"/>
              <w:jc w:val="center"/>
              <w:rPr>
                <w:szCs w:val="28"/>
              </w:rPr>
            </w:pPr>
            <w:r>
              <w:rPr>
                <w:rFonts w:hint="eastAsia"/>
                <w:bCs/>
                <w:szCs w:val="28"/>
              </w:rPr>
              <w:t>论文题目</w:t>
            </w:r>
          </w:p>
        </w:tc>
        <w:tc>
          <w:tcPr>
            <w:tcW w:w="7568" w:type="dxa"/>
            <w:gridSpan w:val="12"/>
          </w:tcPr>
          <w:p>
            <w:pPr>
              <w:spacing w:line="360" w:lineRule="exact"/>
              <w:jc w:val="center"/>
              <w:rPr>
                <w:b/>
                <w:szCs w:val="28"/>
              </w:rPr>
            </w:pPr>
            <w:r>
              <w:rPr>
                <w:rFonts w:hint="eastAsia" w:ascii="宋体" w:hAnsi="宋体" w:cs="宋体"/>
                <w:b/>
                <w:bCs/>
                <w:szCs w:val="21"/>
              </w:rPr>
              <w:t>论土家族作家向迅散文创作中的大地意象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70" w:type="dxa"/>
            <w:gridSpan w:val="2"/>
          </w:tcPr>
          <w:p>
            <w:pPr>
              <w:spacing w:line="360" w:lineRule="exact"/>
              <w:jc w:val="center"/>
              <w:rPr>
                <w:bCs/>
                <w:szCs w:val="28"/>
              </w:rPr>
            </w:pPr>
            <w:r>
              <w:rPr>
                <w:rFonts w:hint="eastAsia"/>
                <w:bCs/>
                <w:szCs w:val="28"/>
              </w:rPr>
              <w:t>课题来源</w:t>
            </w:r>
          </w:p>
        </w:tc>
        <w:tc>
          <w:tcPr>
            <w:tcW w:w="2126" w:type="dxa"/>
            <w:gridSpan w:val="4"/>
          </w:tcPr>
          <w:p>
            <w:pPr>
              <w:spacing w:line="360" w:lineRule="exact"/>
              <w:jc w:val="center"/>
              <w:rPr>
                <w:bCs/>
                <w:szCs w:val="28"/>
              </w:rPr>
            </w:pPr>
            <w:r>
              <w:rPr>
                <w:rFonts w:hint="eastAsia"/>
                <w:bCs/>
                <w:szCs w:val="28"/>
              </w:rPr>
              <w:t>自选课题</w:t>
            </w:r>
          </w:p>
        </w:tc>
        <w:tc>
          <w:tcPr>
            <w:tcW w:w="1204" w:type="dxa"/>
          </w:tcPr>
          <w:p>
            <w:pPr>
              <w:spacing w:line="360" w:lineRule="exact"/>
              <w:jc w:val="center"/>
              <w:rPr>
                <w:bCs/>
                <w:szCs w:val="28"/>
              </w:rPr>
            </w:pPr>
            <w:r>
              <w:rPr>
                <w:rFonts w:hint="eastAsia"/>
                <w:bCs/>
                <w:szCs w:val="28"/>
              </w:rPr>
              <w:t>课题类别</w:t>
            </w:r>
          </w:p>
        </w:tc>
        <w:tc>
          <w:tcPr>
            <w:tcW w:w="1350" w:type="dxa"/>
            <w:gridSpan w:val="2"/>
          </w:tcPr>
          <w:p>
            <w:pPr>
              <w:spacing w:line="360" w:lineRule="exact"/>
              <w:jc w:val="center"/>
              <w:rPr>
                <w:bCs/>
                <w:szCs w:val="28"/>
              </w:rPr>
            </w:pPr>
            <w:r>
              <w:rPr>
                <w:rFonts w:hint="eastAsia"/>
                <w:bCs/>
                <w:szCs w:val="28"/>
              </w:rPr>
              <w:t>理论研究</w:t>
            </w:r>
          </w:p>
        </w:tc>
        <w:tc>
          <w:tcPr>
            <w:tcW w:w="1415" w:type="dxa"/>
            <w:gridSpan w:val="3"/>
          </w:tcPr>
          <w:p>
            <w:pPr>
              <w:spacing w:line="360" w:lineRule="exact"/>
              <w:jc w:val="center"/>
              <w:rPr>
                <w:bCs/>
                <w:szCs w:val="28"/>
              </w:rPr>
            </w:pPr>
            <w:r>
              <w:rPr>
                <w:rFonts w:hint="eastAsia"/>
                <w:bCs/>
                <w:szCs w:val="28"/>
              </w:rPr>
              <w:t>指导教师</w:t>
            </w:r>
          </w:p>
        </w:tc>
        <w:tc>
          <w:tcPr>
            <w:tcW w:w="1473" w:type="dxa"/>
            <w:gridSpan w:val="2"/>
          </w:tcPr>
          <w:p>
            <w:pPr>
              <w:spacing w:line="360" w:lineRule="exact"/>
              <w:jc w:val="center"/>
              <w:rPr>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70" w:type="dxa"/>
            <w:gridSpan w:val="2"/>
          </w:tcPr>
          <w:p>
            <w:pPr>
              <w:spacing w:line="360" w:lineRule="exact"/>
              <w:jc w:val="center"/>
              <w:rPr>
                <w:bCs/>
                <w:szCs w:val="28"/>
              </w:rPr>
            </w:pPr>
            <w:r>
              <w:rPr>
                <w:rFonts w:hint="eastAsia"/>
                <w:bCs/>
                <w:szCs w:val="28"/>
              </w:rPr>
              <w:t>学生姓名</w:t>
            </w:r>
          </w:p>
        </w:tc>
        <w:tc>
          <w:tcPr>
            <w:tcW w:w="1068" w:type="dxa"/>
            <w:gridSpan w:val="2"/>
          </w:tcPr>
          <w:p>
            <w:pPr>
              <w:spacing w:line="360" w:lineRule="exact"/>
              <w:jc w:val="center"/>
              <w:rPr>
                <w:bCs/>
                <w:szCs w:val="28"/>
              </w:rPr>
            </w:pPr>
          </w:p>
        </w:tc>
        <w:tc>
          <w:tcPr>
            <w:tcW w:w="650" w:type="dxa"/>
          </w:tcPr>
          <w:p>
            <w:pPr>
              <w:spacing w:line="360" w:lineRule="exact"/>
              <w:jc w:val="center"/>
              <w:rPr>
                <w:bCs/>
                <w:szCs w:val="28"/>
              </w:rPr>
            </w:pPr>
            <w:r>
              <w:rPr>
                <w:rFonts w:hint="eastAsia"/>
                <w:bCs/>
                <w:szCs w:val="28"/>
              </w:rPr>
              <w:t>学号</w:t>
            </w:r>
          </w:p>
        </w:tc>
        <w:tc>
          <w:tcPr>
            <w:tcW w:w="1612" w:type="dxa"/>
            <w:gridSpan w:val="2"/>
          </w:tcPr>
          <w:p>
            <w:pPr>
              <w:spacing w:line="360" w:lineRule="exact"/>
              <w:jc w:val="center"/>
              <w:rPr>
                <w:bCs/>
                <w:szCs w:val="28"/>
              </w:rPr>
            </w:pPr>
          </w:p>
        </w:tc>
        <w:tc>
          <w:tcPr>
            <w:tcW w:w="638" w:type="dxa"/>
          </w:tcPr>
          <w:p>
            <w:pPr>
              <w:spacing w:line="360" w:lineRule="exact"/>
              <w:jc w:val="center"/>
              <w:rPr>
                <w:bCs/>
                <w:szCs w:val="28"/>
              </w:rPr>
            </w:pPr>
            <w:r>
              <w:rPr>
                <w:rFonts w:hint="eastAsia"/>
                <w:bCs/>
                <w:szCs w:val="28"/>
              </w:rPr>
              <w:t>专业</w:t>
            </w:r>
          </w:p>
        </w:tc>
        <w:tc>
          <w:tcPr>
            <w:tcW w:w="1725" w:type="dxa"/>
            <w:gridSpan w:val="3"/>
          </w:tcPr>
          <w:p>
            <w:pPr>
              <w:spacing w:line="360" w:lineRule="exact"/>
              <w:jc w:val="center"/>
              <w:rPr>
                <w:bCs/>
                <w:szCs w:val="28"/>
              </w:rPr>
            </w:pPr>
          </w:p>
        </w:tc>
        <w:tc>
          <w:tcPr>
            <w:tcW w:w="686" w:type="dxa"/>
            <w:gridSpan w:val="2"/>
          </w:tcPr>
          <w:p>
            <w:pPr>
              <w:spacing w:line="360" w:lineRule="exact"/>
              <w:jc w:val="center"/>
              <w:rPr>
                <w:bCs/>
                <w:szCs w:val="28"/>
              </w:rPr>
            </w:pPr>
            <w:r>
              <w:rPr>
                <w:rFonts w:hint="eastAsia"/>
                <w:bCs/>
                <w:szCs w:val="28"/>
              </w:rPr>
              <w:t>班级</w:t>
            </w:r>
          </w:p>
        </w:tc>
        <w:tc>
          <w:tcPr>
            <w:tcW w:w="1189" w:type="dxa"/>
          </w:tcPr>
          <w:p>
            <w:pPr>
              <w:spacing w:line="360" w:lineRule="exact"/>
              <w:jc w:val="center"/>
              <w:rPr>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6" w:hRule="atLeast"/>
        </w:trPr>
        <w:tc>
          <w:tcPr>
            <w:tcW w:w="8838" w:type="dxa"/>
            <w:gridSpan w:val="14"/>
          </w:tcPr>
          <w:p>
            <w:pPr>
              <w:spacing w:line="360" w:lineRule="exact"/>
              <w:rPr>
                <w:b/>
                <w:szCs w:val="28"/>
              </w:rPr>
            </w:pPr>
            <w:r>
              <w:rPr>
                <w:rFonts w:hint="eastAsia"/>
                <w:b/>
                <w:szCs w:val="28"/>
              </w:rPr>
              <w:t>一、课题的目的和意义：</w:t>
            </w:r>
          </w:p>
          <w:p>
            <w:pPr>
              <w:spacing w:line="360" w:lineRule="exact"/>
              <w:ind w:firstLine="420" w:firstLineChars="200"/>
              <w:rPr>
                <w:b/>
                <w:szCs w:val="28"/>
              </w:rPr>
            </w:pPr>
            <w:r>
              <w:rPr>
                <w:rFonts w:hint="eastAsia" w:ascii="宋体" w:hAnsi="宋体" w:cs="宋体"/>
                <w:szCs w:val="28"/>
              </w:rPr>
              <w:t>新世纪以来，逐渐丰满壮阔的中国少数民族文学，已经成为了中国文学中一个非常重要的存在，这也是中国文学在全球化背景下向世界表达中国文化多样性和独立性的具体表现。作为一名“</w:t>
            </w:r>
            <w:r>
              <w:rPr>
                <w:rFonts w:ascii="宋体" w:hAnsi="宋体" w:cs="宋体"/>
                <w:szCs w:val="28"/>
              </w:rPr>
              <w:t>80</w:t>
            </w:r>
            <w:r>
              <w:rPr>
                <w:rFonts w:hint="eastAsia" w:ascii="宋体" w:hAnsi="宋体" w:cs="宋体"/>
                <w:szCs w:val="28"/>
              </w:rPr>
              <w:t>后”的向迅，这位从鄂西深处走出来的土家族青年，他在作品中展现了自己对大地（鄂西土地）独有的乡土情结，以及对现代文明的深刻思考。这使得他的创作区别于韩寒、郭敬明之类的“青春文学”创作，在新世纪纷繁复杂的文学脉络中具有独特的一面。“大地”是乡土中国的核心意象，本论文拟通过“大地”意象探究向迅散文创作中的乡土情结，感悟家族历史更迭、都市与乡村的多重冲突。通过对“</w:t>
            </w:r>
            <w:r>
              <w:rPr>
                <w:rFonts w:ascii="宋体" w:hAnsi="宋体" w:cs="宋体"/>
                <w:szCs w:val="28"/>
              </w:rPr>
              <w:t>80</w:t>
            </w:r>
            <w:r>
              <w:rPr>
                <w:rFonts w:hint="eastAsia" w:ascii="宋体" w:hAnsi="宋体" w:cs="宋体"/>
                <w:szCs w:val="28"/>
              </w:rPr>
              <w:t>后”少数民族作家向迅文学创作的考察，能够使我们更深刻地把握新世纪以来的文学流变，深刻理解中华大地上的多民族文化。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5" w:hRule="atLeast"/>
        </w:trPr>
        <w:tc>
          <w:tcPr>
            <w:tcW w:w="8838" w:type="dxa"/>
            <w:gridSpan w:val="14"/>
          </w:tcPr>
          <w:p>
            <w:pPr>
              <w:spacing w:line="360" w:lineRule="exact"/>
              <w:rPr>
                <w:b/>
                <w:szCs w:val="28"/>
              </w:rPr>
            </w:pPr>
            <w:r>
              <w:rPr>
                <w:rFonts w:hint="eastAsia"/>
                <w:b/>
                <w:szCs w:val="28"/>
              </w:rPr>
              <w:t>二、文献综述：</w:t>
            </w:r>
          </w:p>
          <w:p>
            <w:pPr>
              <w:spacing w:line="360" w:lineRule="exact"/>
              <w:ind w:firstLine="420" w:firstLineChars="200"/>
              <w:rPr>
                <w:rFonts w:ascii="宋体" w:cs="宋体"/>
                <w:szCs w:val="28"/>
              </w:rPr>
            </w:pPr>
            <w:r>
              <w:rPr>
                <w:rFonts w:hint="eastAsia" w:ascii="宋体" w:hAnsi="宋体" w:cs="宋体"/>
                <w:szCs w:val="28"/>
              </w:rPr>
              <w:t>在现有的研究中，已经有不少的学者对“</w:t>
            </w:r>
            <w:r>
              <w:rPr>
                <w:rFonts w:ascii="宋体" w:hAnsi="宋体" w:cs="宋体"/>
                <w:szCs w:val="28"/>
              </w:rPr>
              <w:t>80</w:t>
            </w:r>
            <w:r>
              <w:rPr>
                <w:rFonts w:hint="eastAsia" w:ascii="宋体" w:hAnsi="宋体" w:cs="宋体"/>
                <w:szCs w:val="28"/>
              </w:rPr>
              <w:t>后”少数民族作家进行了关注，并且集中地注意到这些</w:t>
            </w:r>
            <w:r>
              <w:rPr>
                <w:rFonts w:hint="eastAsia" w:ascii="宋体" w:hAnsi="宋体" w:cs="宋体"/>
                <w:bCs/>
                <w:szCs w:val="28"/>
              </w:rPr>
              <w:t>少数民族作家在新的时代背景下所面临的身份认同困境</w:t>
            </w:r>
            <w:r>
              <w:rPr>
                <w:rFonts w:hint="eastAsia" w:ascii="宋体" w:hAnsi="宋体" w:cs="宋体"/>
                <w:szCs w:val="28"/>
              </w:rPr>
              <w:t>。其中如阳玉平在《论</w:t>
            </w:r>
            <w:r>
              <w:rPr>
                <w:rFonts w:ascii="宋体" w:hAnsi="宋体" w:cs="宋体"/>
                <w:szCs w:val="28"/>
              </w:rPr>
              <w:t>80</w:t>
            </w:r>
            <w:r>
              <w:rPr>
                <w:rFonts w:hint="eastAsia" w:ascii="宋体" w:hAnsi="宋体" w:cs="宋体"/>
                <w:szCs w:val="28"/>
              </w:rPr>
              <w:t>后少数民族作家的创作》中提及面对越来越复杂的社会环境，少数民族文学创作在不断地更新，</w:t>
            </w:r>
            <w:r>
              <w:rPr>
                <w:rFonts w:ascii="宋体" w:hAnsi="宋体" w:cs="宋体"/>
                <w:szCs w:val="28"/>
              </w:rPr>
              <w:t>80</w:t>
            </w:r>
            <w:r>
              <w:rPr>
                <w:rFonts w:hint="eastAsia" w:ascii="宋体" w:hAnsi="宋体" w:cs="宋体"/>
                <w:szCs w:val="28"/>
              </w:rPr>
              <w:t>后的少数民族作家从一出生就接受改革的思潮，乡村、城市、城乡结合处成了他们的叙述空间，通过儿时的乡村场景描述传统的农业生活，抒发内心的情感，他们对土地从骨子里有一种诗意的寄托，但同时又眷恋城市的快速和便捷。李翠芳在《多元文化格局中少数民族作家的文化认同与身份建构》中论述了在城市化和全球化的历史转型期，少数民族作家的生活和文化状态发生的重大变化。李长中则在《少数民族“</w:t>
            </w:r>
            <w:r>
              <w:rPr>
                <w:rFonts w:ascii="宋体" w:hAnsi="宋体" w:cs="宋体"/>
                <w:szCs w:val="28"/>
              </w:rPr>
              <w:t>80</w:t>
            </w:r>
            <w:r>
              <w:rPr>
                <w:rFonts w:hint="eastAsia" w:ascii="宋体" w:hAnsi="宋体" w:cs="宋体"/>
                <w:szCs w:val="28"/>
              </w:rPr>
              <w:t>后文学”比较论》中论述了“</w:t>
            </w:r>
            <w:r>
              <w:rPr>
                <w:rFonts w:ascii="宋体" w:hAnsi="宋体" w:cs="宋体"/>
                <w:szCs w:val="28"/>
              </w:rPr>
              <w:t>80</w:t>
            </w:r>
            <w:r>
              <w:rPr>
                <w:rFonts w:hint="eastAsia" w:ascii="宋体" w:hAnsi="宋体" w:cs="宋体"/>
                <w:szCs w:val="28"/>
              </w:rPr>
              <w:t>后文学”与其他代际文学间的断裂或对立，强调“</w:t>
            </w:r>
            <w:r>
              <w:rPr>
                <w:rFonts w:ascii="宋体" w:hAnsi="宋体" w:cs="宋体"/>
                <w:szCs w:val="28"/>
              </w:rPr>
              <w:t>80</w:t>
            </w:r>
            <w:r>
              <w:rPr>
                <w:rFonts w:hint="eastAsia" w:ascii="宋体" w:hAnsi="宋体" w:cs="宋体"/>
                <w:szCs w:val="28"/>
              </w:rPr>
              <w:t>后文学”的私人化表述与亚文化特征。在传统、宗教、民族、文化等问题缠绕下，他们的文学创作在融入现代性叙事的同时又表现了“寓言”意义的公共特质。蔡晓林论文《</w:t>
            </w:r>
            <w:r>
              <w:rPr>
                <w:rFonts w:ascii="宋体" w:hAnsi="宋体" w:cs="宋体"/>
                <w:szCs w:val="28"/>
              </w:rPr>
              <w:t>21</w:t>
            </w:r>
            <w:r>
              <w:rPr>
                <w:rFonts w:hint="eastAsia" w:ascii="宋体" w:hAnsi="宋体" w:cs="宋体"/>
                <w:szCs w:val="28"/>
              </w:rPr>
              <w:t>世纪中国少数民族作家角色定位及其深化》论述了中国少数民族作家在全球化的预警下，失去了单一身份，作为第一身份的现代人，已经自觉不自觉地置身于少数民族作家的行列，为民族、进而为全人类思考和写作。研究者们关于向迅散文写作的研究，也都以少数民族的文化身份以及与乡土中国的关系着手。卜宗晖在《走出新的路，便背叛了旧生活</w:t>
            </w:r>
            <w:r>
              <w:rPr>
                <w:rFonts w:ascii="宋体" w:hAnsi="宋体" w:cs="宋体"/>
                <w:szCs w:val="28"/>
              </w:rPr>
              <w:t>——</w:t>
            </w:r>
            <w:r>
              <w:rPr>
                <w:rFonts w:hint="eastAsia" w:ascii="宋体" w:hAnsi="宋体" w:cs="宋体"/>
                <w:szCs w:val="28"/>
              </w:rPr>
              <w:t>向迅美文</w:t>
            </w:r>
            <w:r>
              <w:rPr>
                <w:rFonts w:ascii="宋体" w:hAnsi="宋体" w:cs="宋体"/>
                <w:szCs w:val="28"/>
              </w:rPr>
              <w:t>&lt;</w:t>
            </w:r>
            <w:r>
              <w:rPr>
                <w:rFonts w:hint="eastAsia" w:ascii="宋体" w:hAnsi="宋体" w:cs="宋体"/>
                <w:szCs w:val="28"/>
              </w:rPr>
              <w:t>背叛泥土</w:t>
            </w:r>
            <w:r>
              <w:rPr>
                <w:rFonts w:ascii="宋体" w:hAnsi="宋体" w:cs="宋体"/>
                <w:szCs w:val="28"/>
              </w:rPr>
              <w:t>&gt;</w:t>
            </w:r>
            <w:r>
              <w:rPr>
                <w:rFonts w:hint="eastAsia" w:ascii="宋体" w:hAnsi="宋体" w:cs="宋体"/>
                <w:szCs w:val="28"/>
              </w:rPr>
              <w:t>赏析》一文中阐述了向迅对故乡的深深眷恋，故乡的泥土是作者的根，是他一生的寄托，背叛泥土是他的无奈之举，这种存在于作家文字中的情感悖论，将作者自己对故乡的热爱、眷恋、无法割舍之情，以及走出故乡的愧疚与自责深刻地表达出来。杨荣昌在论文《寻找乡土中国的心灵密码》中谈到向迅在逃离与回归中挣扎，在离乡与返乡中奔突，深刻地诠释了作者对乡土中国的矛盾与迷惘的情绪。</w:t>
            </w:r>
          </w:p>
          <w:p>
            <w:pPr>
              <w:spacing w:line="360" w:lineRule="exact"/>
              <w:ind w:firstLine="420" w:firstLineChars="200"/>
              <w:rPr>
                <w:rFonts w:ascii="宋体" w:cs="宋体"/>
                <w:szCs w:val="28"/>
              </w:rPr>
            </w:pPr>
            <w:r>
              <w:rPr>
                <w:rFonts w:hint="eastAsia" w:ascii="宋体" w:hAnsi="宋体" w:cs="宋体"/>
                <w:szCs w:val="28"/>
              </w:rPr>
              <w:t>现有的研究成果大都集中在对向迅与泥土的血肉关系的纠葛的讨论上，而甚少关注向迅特殊的少数民族身份以及他在写作中潜藏于文字中的“大地”意象。本文将试图把“大地”这个意象作为切入点，结合作家自身的少数民族身份特征及其散文创作的时代背景，从故乡土地、家族历史演变及现代文明与乡土文明的冲突这几个角度去分析解读向迅的散文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7" w:hRule="atLeast"/>
        </w:trPr>
        <w:tc>
          <w:tcPr>
            <w:tcW w:w="8838" w:type="dxa"/>
            <w:gridSpan w:val="14"/>
          </w:tcPr>
          <w:p>
            <w:pPr>
              <w:spacing w:line="380" w:lineRule="exact"/>
              <w:rPr>
                <w:rFonts w:ascii="宋体" w:cs="宋体"/>
                <w:b/>
                <w:szCs w:val="21"/>
              </w:rPr>
            </w:pPr>
            <w:r>
              <w:rPr>
                <w:rFonts w:hint="eastAsia" w:ascii="宋体" w:hAnsi="宋体" w:cs="宋体"/>
                <w:b/>
                <w:szCs w:val="21"/>
              </w:rPr>
              <w:t>三、课题研究的内容、方法和预期目标：</w:t>
            </w:r>
          </w:p>
          <w:p>
            <w:pPr>
              <w:spacing w:line="380" w:lineRule="exact"/>
              <w:ind w:firstLine="435"/>
              <w:rPr>
                <w:rFonts w:ascii="宋体" w:cs="宋体"/>
                <w:szCs w:val="21"/>
              </w:rPr>
            </w:pPr>
            <w:r>
              <w:rPr>
                <w:rFonts w:hint="eastAsia" w:ascii="宋体" w:hAnsi="宋体" w:cs="宋体"/>
                <w:b/>
                <w:szCs w:val="21"/>
              </w:rPr>
              <w:t>研究内容：</w:t>
            </w:r>
            <w:r>
              <w:rPr>
                <w:rFonts w:hint="eastAsia" w:ascii="宋体" w:hAnsi="宋体" w:cs="宋体"/>
                <w:szCs w:val="21"/>
              </w:rPr>
              <w:t>论文将从向迅散文创作中的“大地”意象出发，结合作者“</w:t>
            </w:r>
            <w:r>
              <w:rPr>
                <w:rFonts w:ascii="宋体" w:hAnsi="宋体" w:cs="宋体"/>
                <w:szCs w:val="21"/>
              </w:rPr>
              <w:t>80</w:t>
            </w:r>
            <w:r>
              <w:rPr>
                <w:rFonts w:hint="eastAsia" w:ascii="宋体" w:hAnsi="宋体" w:cs="宋体"/>
                <w:szCs w:val="21"/>
              </w:rPr>
              <w:t>后”作家以及其少数民族的特殊身份，阐述作品中土地意象所寄托的情感内涵，进而从土地意象的异化中感悟作者对大地之上的工业文明、现存家族的变迁及城市进程中产生的问题的反思，同时深入把握作者“背叛泥土”的情感悖论是如何体现的。</w:t>
            </w:r>
          </w:p>
          <w:p>
            <w:pPr>
              <w:spacing w:line="380" w:lineRule="exact"/>
              <w:ind w:firstLine="435"/>
              <w:rPr>
                <w:rFonts w:ascii="宋体" w:cs="宋体"/>
                <w:b/>
                <w:szCs w:val="21"/>
              </w:rPr>
            </w:pPr>
            <w:r>
              <w:rPr>
                <w:rFonts w:hint="eastAsia" w:ascii="宋体" w:hAnsi="宋体" w:cs="宋体"/>
                <w:b/>
                <w:szCs w:val="21"/>
              </w:rPr>
              <w:t>论文框架：</w:t>
            </w:r>
            <w:r>
              <w:rPr>
                <w:rFonts w:hint="eastAsia" w:ascii="宋体" w:hAnsi="宋体" w:cs="宋体"/>
                <w:szCs w:val="21"/>
              </w:rPr>
              <w:t>一、“大地”意象的基本构成（一）泥土意象；（二）村庄意象；（三）家族意象。二、“大地”意象的艺术特质（一）诗意的渲染；（二）质朴的叙述。三、“大地”意象的渊源（一）少年回忆的再现；（二）城市危机的警示。四、结语</w:t>
            </w:r>
          </w:p>
          <w:p>
            <w:pPr>
              <w:spacing w:line="380" w:lineRule="exact"/>
              <w:ind w:firstLine="422" w:firstLineChars="200"/>
              <w:rPr>
                <w:rFonts w:ascii="宋体" w:cs="宋体"/>
                <w:szCs w:val="21"/>
              </w:rPr>
            </w:pPr>
            <w:r>
              <w:rPr>
                <w:rFonts w:hint="eastAsia" w:ascii="宋体" w:hAnsi="宋体" w:cs="宋体"/>
                <w:b/>
                <w:szCs w:val="21"/>
              </w:rPr>
              <w:t>研究方法：</w:t>
            </w:r>
            <w:r>
              <w:rPr>
                <w:rFonts w:hint="eastAsia" w:ascii="宋体" w:hAnsi="宋体" w:cs="宋体"/>
                <w:szCs w:val="21"/>
              </w:rPr>
              <w:t>首先，采用文本细读法。通过深入阅读作品，掌握作者的创作状况并初步梳理论文的写作思路；其次，采用文献搜集法。通过学术数据库、学术刊物等途径获取相关研究资料，掌握研究现状；最后，以自己的见解借鉴前人研究成果，完成论文。</w:t>
            </w:r>
          </w:p>
          <w:p>
            <w:pPr>
              <w:spacing w:line="380" w:lineRule="exact"/>
              <w:ind w:firstLine="422" w:firstLineChars="200"/>
              <w:rPr>
                <w:b/>
                <w:szCs w:val="28"/>
              </w:rPr>
            </w:pPr>
            <w:r>
              <w:rPr>
                <w:rFonts w:hint="eastAsia" w:ascii="宋体" w:hAnsi="宋体" w:cs="宋体"/>
                <w:b/>
                <w:szCs w:val="21"/>
              </w:rPr>
              <w:t>预期目标：</w:t>
            </w:r>
            <w:r>
              <w:rPr>
                <w:rFonts w:hint="eastAsia" w:ascii="宋体" w:hAnsi="宋体" w:cs="宋体"/>
                <w:szCs w:val="21"/>
              </w:rPr>
              <w:t>在与其他“</w:t>
            </w:r>
            <w:r>
              <w:rPr>
                <w:rFonts w:ascii="宋体" w:hAnsi="宋体" w:cs="宋体"/>
                <w:szCs w:val="21"/>
              </w:rPr>
              <w:t>80</w:t>
            </w:r>
            <w:r>
              <w:rPr>
                <w:rFonts w:hint="eastAsia" w:ascii="宋体" w:hAnsi="宋体" w:cs="宋体"/>
                <w:szCs w:val="21"/>
              </w:rPr>
              <w:t>后”作家的对比研究中系统分析向迅散文创作中“大地”意象的内涵，同时更好地把握“</w:t>
            </w:r>
            <w:r>
              <w:rPr>
                <w:rFonts w:ascii="宋体" w:hAnsi="宋体" w:cs="宋体"/>
                <w:szCs w:val="21"/>
              </w:rPr>
              <w:t>80</w:t>
            </w:r>
            <w:r>
              <w:rPr>
                <w:rFonts w:hint="eastAsia" w:ascii="宋体" w:hAnsi="宋体" w:cs="宋体"/>
                <w:szCs w:val="21"/>
              </w:rPr>
              <w:t>后”少数民族作家群体创作的状况，以此来梳理新世纪以来文学的发展流变。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8" w:hRule="atLeast"/>
        </w:trPr>
        <w:tc>
          <w:tcPr>
            <w:tcW w:w="8838" w:type="dxa"/>
            <w:gridSpan w:val="14"/>
          </w:tcPr>
          <w:p>
            <w:pPr>
              <w:spacing w:line="360" w:lineRule="auto"/>
              <w:rPr>
                <w:b/>
                <w:szCs w:val="28"/>
              </w:rPr>
            </w:pPr>
            <w:r>
              <w:rPr>
                <w:rFonts w:hint="eastAsia"/>
                <w:b/>
                <w:szCs w:val="28"/>
              </w:rPr>
              <w:t>四、所需要的条件：</w:t>
            </w:r>
          </w:p>
          <w:p>
            <w:pPr>
              <w:spacing w:line="380" w:lineRule="exact"/>
              <w:ind w:firstLine="420" w:firstLineChars="200"/>
              <w:rPr>
                <w:rFonts w:ascii="宋体" w:cs="宋体"/>
                <w:szCs w:val="21"/>
              </w:rPr>
            </w:pPr>
            <w:r>
              <w:rPr>
                <w:rFonts w:hint="eastAsia" w:ascii="宋体" w:hAnsi="宋体" w:cs="宋体"/>
                <w:szCs w:val="21"/>
              </w:rPr>
              <w:t>图书资料：向迅的《谁还能衣锦还乡》等文学作品，与本课题研究相关的论著。</w:t>
            </w:r>
          </w:p>
          <w:p>
            <w:pPr>
              <w:spacing w:line="380" w:lineRule="exact"/>
              <w:ind w:firstLine="420" w:firstLineChars="200"/>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838" w:type="dxa"/>
            <w:gridSpan w:val="14"/>
          </w:tcPr>
          <w:p>
            <w:pPr>
              <w:spacing w:line="380" w:lineRule="exact"/>
              <w:rPr>
                <w:b/>
                <w:szCs w:val="28"/>
              </w:rPr>
            </w:pPr>
            <w:r>
              <w:rPr>
                <w:rFonts w:hint="eastAsia"/>
                <w:b/>
                <w:szCs w:val="28"/>
              </w:rPr>
              <w:t>五、课题分阶段进度计划：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24" w:type="dxa"/>
          </w:tcPr>
          <w:p>
            <w:pPr>
              <w:spacing w:line="380" w:lineRule="exact"/>
              <w:jc w:val="center"/>
              <w:rPr>
                <w:b/>
                <w:szCs w:val="28"/>
              </w:rPr>
            </w:pPr>
            <w:r>
              <w:rPr>
                <w:rFonts w:hint="eastAsia"/>
                <w:b/>
                <w:szCs w:val="21"/>
              </w:rPr>
              <w:t>序号</w:t>
            </w:r>
          </w:p>
        </w:tc>
        <w:tc>
          <w:tcPr>
            <w:tcW w:w="1394" w:type="dxa"/>
            <w:gridSpan w:val="2"/>
          </w:tcPr>
          <w:p>
            <w:pPr>
              <w:spacing w:line="380" w:lineRule="exact"/>
              <w:jc w:val="center"/>
              <w:rPr>
                <w:b/>
                <w:szCs w:val="28"/>
              </w:rPr>
            </w:pPr>
            <w:r>
              <w:rPr>
                <w:rFonts w:hint="eastAsia"/>
                <w:b/>
                <w:szCs w:val="21"/>
              </w:rPr>
              <w:t>起止日期</w:t>
            </w:r>
          </w:p>
        </w:tc>
        <w:tc>
          <w:tcPr>
            <w:tcW w:w="4338" w:type="dxa"/>
            <w:gridSpan w:val="7"/>
          </w:tcPr>
          <w:p>
            <w:pPr>
              <w:spacing w:line="380" w:lineRule="exact"/>
              <w:jc w:val="center"/>
              <w:rPr>
                <w:b/>
                <w:szCs w:val="28"/>
              </w:rPr>
            </w:pPr>
            <w:r>
              <w:rPr>
                <w:rFonts w:hint="eastAsia"/>
                <w:b/>
                <w:szCs w:val="21"/>
              </w:rPr>
              <w:t>工作内容</w:t>
            </w:r>
          </w:p>
        </w:tc>
        <w:tc>
          <w:tcPr>
            <w:tcW w:w="2382" w:type="dxa"/>
            <w:gridSpan w:val="4"/>
          </w:tcPr>
          <w:p>
            <w:pPr>
              <w:spacing w:line="380" w:lineRule="exact"/>
              <w:jc w:val="center"/>
              <w:rPr>
                <w:b/>
                <w:szCs w:val="28"/>
              </w:rPr>
            </w:pPr>
            <w:r>
              <w:rPr>
                <w:rFonts w:hint="eastAsia"/>
                <w:b/>
                <w:szCs w:val="21"/>
              </w:rPr>
              <w:t>阶段成果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24" w:type="dxa"/>
            <w:vAlign w:val="center"/>
          </w:tcPr>
          <w:p>
            <w:pPr>
              <w:spacing w:line="380" w:lineRule="exact"/>
              <w:jc w:val="center"/>
              <w:rPr>
                <w:bCs/>
                <w:szCs w:val="28"/>
              </w:rPr>
            </w:pPr>
            <w:r>
              <w:rPr>
                <w:rFonts w:ascii="宋体" w:hAnsi="宋体" w:cs="宋体"/>
                <w:bCs/>
                <w:szCs w:val="21"/>
              </w:rPr>
              <w:t>1</w:t>
            </w:r>
          </w:p>
        </w:tc>
        <w:tc>
          <w:tcPr>
            <w:tcW w:w="1394" w:type="dxa"/>
            <w:gridSpan w:val="2"/>
          </w:tcPr>
          <w:p>
            <w:pPr>
              <w:spacing w:line="380" w:lineRule="exact"/>
              <w:jc w:val="center"/>
              <w:rPr>
                <w:rFonts w:ascii="宋体" w:cs="宋体"/>
                <w:bCs/>
                <w:szCs w:val="21"/>
              </w:rPr>
            </w:pPr>
            <w:r>
              <w:rPr>
                <w:rFonts w:ascii="宋体" w:hAnsi="宋体" w:cs="宋体"/>
                <w:szCs w:val="21"/>
              </w:rPr>
              <w:t>2015.11.23—2016.5.1</w:t>
            </w:r>
          </w:p>
        </w:tc>
        <w:tc>
          <w:tcPr>
            <w:tcW w:w="4338" w:type="dxa"/>
            <w:gridSpan w:val="7"/>
          </w:tcPr>
          <w:p>
            <w:pPr>
              <w:spacing w:line="380" w:lineRule="exact"/>
              <w:ind w:firstLine="210" w:firstLineChars="100"/>
              <w:rPr>
                <w:rFonts w:ascii="宋体" w:cs="宋体"/>
                <w:bCs/>
                <w:szCs w:val="21"/>
              </w:rPr>
            </w:pPr>
            <w:r>
              <w:rPr>
                <w:rFonts w:hint="eastAsia" w:ascii="宋体" w:hAnsi="宋体" w:cs="宋体"/>
                <w:szCs w:val="21"/>
              </w:rPr>
              <w:t>老师指导学生选题，写作开题报告和论文提纲；学生参加论文开题。</w:t>
            </w:r>
          </w:p>
        </w:tc>
        <w:tc>
          <w:tcPr>
            <w:tcW w:w="2382" w:type="dxa"/>
            <w:gridSpan w:val="4"/>
            <w:vAlign w:val="center"/>
          </w:tcPr>
          <w:p>
            <w:pPr>
              <w:spacing w:line="380" w:lineRule="exact"/>
              <w:jc w:val="center"/>
              <w:rPr>
                <w:rFonts w:ascii="宋体" w:cs="宋体"/>
                <w:szCs w:val="21"/>
              </w:rPr>
            </w:pPr>
            <w:r>
              <w:rPr>
                <w:rFonts w:hint="eastAsia" w:ascii="宋体" w:hAnsi="宋体" w:cs="宋体"/>
                <w:szCs w:val="21"/>
              </w:rPr>
              <w:t>论文提纲和开题报告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24" w:type="dxa"/>
            <w:vAlign w:val="center"/>
          </w:tcPr>
          <w:p>
            <w:pPr>
              <w:spacing w:line="380" w:lineRule="exact"/>
              <w:jc w:val="center"/>
              <w:rPr>
                <w:bCs/>
                <w:szCs w:val="28"/>
              </w:rPr>
            </w:pPr>
            <w:r>
              <w:rPr>
                <w:rFonts w:ascii="宋体" w:hAnsi="宋体" w:cs="宋体"/>
                <w:bCs/>
                <w:szCs w:val="21"/>
              </w:rPr>
              <w:t>2</w:t>
            </w:r>
          </w:p>
        </w:tc>
        <w:tc>
          <w:tcPr>
            <w:tcW w:w="1394" w:type="dxa"/>
            <w:gridSpan w:val="2"/>
          </w:tcPr>
          <w:p>
            <w:pPr>
              <w:spacing w:line="380" w:lineRule="exact"/>
              <w:jc w:val="center"/>
              <w:rPr>
                <w:rFonts w:ascii="宋体" w:cs="宋体"/>
                <w:szCs w:val="21"/>
              </w:rPr>
            </w:pPr>
            <w:r>
              <w:rPr>
                <w:rFonts w:ascii="宋体" w:hAnsi="宋体" w:cs="宋体"/>
                <w:szCs w:val="21"/>
              </w:rPr>
              <w:t>2016.5.2</w:t>
            </w:r>
          </w:p>
          <w:p>
            <w:pPr>
              <w:spacing w:line="380" w:lineRule="exact"/>
              <w:jc w:val="center"/>
              <w:rPr>
                <w:rFonts w:ascii="宋体" w:cs="宋体"/>
                <w:bCs/>
                <w:szCs w:val="21"/>
              </w:rPr>
            </w:pPr>
            <w:r>
              <w:rPr>
                <w:rFonts w:ascii="宋体" w:hAnsi="宋体" w:cs="宋体"/>
                <w:szCs w:val="21"/>
              </w:rPr>
              <w:t>—5.22</w:t>
            </w:r>
          </w:p>
        </w:tc>
        <w:tc>
          <w:tcPr>
            <w:tcW w:w="4338" w:type="dxa"/>
            <w:gridSpan w:val="7"/>
          </w:tcPr>
          <w:p>
            <w:pPr>
              <w:spacing w:line="380" w:lineRule="exact"/>
              <w:ind w:firstLine="210" w:firstLineChars="100"/>
              <w:rPr>
                <w:rFonts w:ascii="宋体" w:cs="宋体"/>
                <w:bCs/>
                <w:szCs w:val="21"/>
              </w:rPr>
            </w:pPr>
            <w:r>
              <w:rPr>
                <w:rFonts w:hint="eastAsia" w:ascii="宋体" w:hAnsi="宋体" w:cs="宋体"/>
                <w:szCs w:val="21"/>
              </w:rPr>
              <w:t>学生修改开题报告和论文提纲，完成论文初稿，交由指导老师批改。</w:t>
            </w:r>
          </w:p>
        </w:tc>
        <w:tc>
          <w:tcPr>
            <w:tcW w:w="2382" w:type="dxa"/>
            <w:gridSpan w:val="4"/>
            <w:vAlign w:val="center"/>
          </w:tcPr>
          <w:p>
            <w:pPr>
              <w:spacing w:line="380" w:lineRule="exact"/>
              <w:jc w:val="center"/>
              <w:rPr>
                <w:rFonts w:ascii="宋体" w:cs="宋体"/>
                <w:szCs w:val="21"/>
              </w:rPr>
            </w:pPr>
            <w:r>
              <w:rPr>
                <w:rFonts w:hint="eastAsia" w:ascii="宋体" w:hAnsi="宋体" w:cs="宋体"/>
                <w:szCs w:val="21"/>
              </w:rPr>
              <w:t>论文初稿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24" w:type="dxa"/>
            <w:vAlign w:val="center"/>
          </w:tcPr>
          <w:p>
            <w:pPr>
              <w:spacing w:line="380" w:lineRule="exact"/>
              <w:jc w:val="center"/>
              <w:rPr>
                <w:bCs/>
                <w:szCs w:val="28"/>
              </w:rPr>
            </w:pPr>
            <w:r>
              <w:rPr>
                <w:rFonts w:ascii="宋体" w:hAnsi="宋体" w:cs="宋体"/>
                <w:bCs/>
                <w:szCs w:val="21"/>
              </w:rPr>
              <w:t>3</w:t>
            </w:r>
          </w:p>
        </w:tc>
        <w:tc>
          <w:tcPr>
            <w:tcW w:w="1394" w:type="dxa"/>
            <w:gridSpan w:val="2"/>
          </w:tcPr>
          <w:p>
            <w:pPr>
              <w:spacing w:line="380" w:lineRule="exact"/>
              <w:jc w:val="center"/>
              <w:rPr>
                <w:rFonts w:ascii="宋体" w:cs="宋体"/>
                <w:szCs w:val="21"/>
              </w:rPr>
            </w:pPr>
            <w:r>
              <w:rPr>
                <w:rFonts w:ascii="宋体" w:hAnsi="宋体" w:cs="宋体"/>
                <w:szCs w:val="21"/>
              </w:rPr>
              <w:t>2016.5.23</w:t>
            </w:r>
          </w:p>
          <w:p>
            <w:pPr>
              <w:spacing w:line="380" w:lineRule="exact"/>
              <w:jc w:val="center"/>
              <w:rPr>
                <w:rFonts w:ascii="宋体" w:cs="宋体"/>
                <w:bCs/>
                <w:szCs w:val="21"/>
              </w:rPr>
            </w:pPr>
            <w:r>
              <w:rPr>
                <w:rFonts w:ascii="宋体" w:hAnsi="宋体" w:cs="宋体"/>
                <w:szCs w:val="21"/>
              </w:rPr>
              <w:t>—6.5</w:t>
            </w:r>
          </w:p>
        </w:tc>
        <w:tc>
          <w:tcPr>
            <w:tcW w:w="4338" w:type="dxa"/>
            <w:gridSpan w:val="7"/>
          </w:tcPr>
          <w:p>
            <w:pPr>
              <w:spacing w:line="380" w:lineRule="exact"/>
              <w:ind w:firstLine="210" w:firstLineChars="100"/>
              <w:rPr>
                <w:rFonts w:ascii="宋体" w:cs="宋体"/>
                <w:bCs/>
                <w:szCs w:val="21"/>
              </w:rPr>
            </w:pPr>
            <w:r>
              <w:rPr>
                <w:rFonts w:hint="eastAsia" w:ascii="宋体" w:hAnsi="宋体" w:cs="宋体"/>
                <w:szCs w:val="21"/>
              </w:rPr>
              <w:t>学生根据指导老师的修改意见，完成论文二稿，交由指导老师批改。</w:t>
            </w:r>
          </w:p>
        </w:tc>
        <w:tc>
          <w:tcPr>
            <w:tcW w:w="2382" w:type="dxa"/>
            <w:gridSpan w:val="4"/>
            <w:vAlign w:val="center"/>
          </w:tcPr>
          <w:p>
            <w:pPr>
              <w:spacing w:line="380" w:lineRule="exact"/>
              <w:jc w:val="center"/>
              <w:rPr>
                <w:rFonts w:ascii="宋体" w:cs="宋体"/>
                <w:bCs/>
                <w:szCs w:val="21"/>
              </w:rPr>
            </w:pPr>
            <w:r>
              <w:rPr>
                <w:rFonts w:hint="eastAsia" w:ascii="宋体" w:hAnsi="宋体" w:cs="宋体"/>
                <w:szCs w:val="21"/>
              </w:rPr>
              <w:t>论文二稿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24" w:type="dxa"/>
            <w:vAlign w:val="center"/>
          </w:tcPr>
          <w:p>
            <w:pPr>
              <w:spacing w:line="380" w:lineRule="exact"/>
              <w:jc w:val="center"/>
              <w:rPr>
                <w:bCs/>
                <w:szCs w:val="28"/>
              </w:rPr>
            </w:pPr>
            <w:r>
              <w:rPr>
                <w:rFonts w:ascii="宋体" w:hAnsi="宋体" w:cs="宋体"/>
                <w:bCs/>
                <w:szCs w:val="21"/>
              </w:rPr>
              <w:t>4</w:t>
            </w:r>
          </w:p>
        </w:tc>
        <w:tc>
          <w:tcPr>
            <w:tcW w:w="1394" w:type="dxa"/>
            <w:gridSpan w:val="2"/>
          </w:tcPr>
          <w:p>
            <w:pPr>
              <w:spacing w:line="380" w:lineRule="exact"/>
              <w:jc w:val="center"/>
              <w:rPr>
                <w:rFonts w:ascii="宋体" w:cs="宋体"/>
                <w:szCs w:val="21"/>
              </w:rPr>
            </w:pPr>
            <w:r>
              <w:rPr>
                <w:rFonts w:ascii="宋体" w:hAnsi="宋体" w:cs="宋体"/>
                <w:szCs w:val="21"/>
              </w:rPr>
              <w:t>2016.6.6</w:t>
            </w:r>
          </w:p>
          <w:p>
            <w:pPr>
              <w:spacing w:line="380" w:lineRule="exact"/>
              <w:jc w:val="center"/>
              <w:rPr>
                <w:rFonts w:ascii="宋体" w:cs="宋体"/>
                <w:bCs/>
                <w:szCs w:val="21"/>
              </w:rPr>
            </w:pPr>
            <w:r>
              <w:rPr>
                <w:rFonts w:ascii="宋体" w:hAnsi="宋体" w:cs="宋体"/>
                <w:szCs w:val="21"/>
              </w:rPr>
              <w:t>—6.19</w:t>
            </w:r>
          </w:p>
        </w:tc>
        <w:tc>
          <w:tcPr>
            <w:tcW w:w="4338" w:type="dxa"/>
            <w:gridSpan w:val="7"/>
          </w:tcPr>
          <w:p>
            <w:pPr>
              <w:spacing w:line="380" w:lineRule="exact"/>
              <w:ind w:firstLine="210" w:firstLineChars="100"/>
              <w:rPr>
                <w:rFonts w:ascii="宋体" w:cs="宋体"/>
                <w:bCs/>
                <w:szCs w:val="21"/>
              </w:rPr>
            </w:pPr>
            <w:r>
              <w:rPr>
                <w:rFonts w:hint="eastAsia" w:ascii="宋体" w:hAnsi="宋体" w:cs="宋体"/>
                <w:szCs w:val="21"/>
              </w:rPr>
              <w:t>学生完成论文终稿，交由指导老师审阅；学生按要求检测、打印论文，准备答辩。</w:t>
            </w:r>
          </w:p>
        </w:tc>
        <w:tc>
          <w:tcPr>
            <w:tcW w:w="2382" w:type="dxa"/>
            <w:gridSpan w:val="4"/>
            <w:vAlign w:val="center"/>
          </w:tcPr>
          <w:p>
            <w:pPr>
              <w:spacing w:line="380" w:lineRule="exact"/>
              <w:jc w:val="center"/>
              <w:rPr>
                <w:rFonts w:ascii="宋体" w:cs="宋体"/>
                <w:szCs w:val="21"/>
              </w:rPr>
            </w:pPr>
            <w:r>
              <w:rPr>
                <w:rFonts w:hint="eastAsia" w:ascii="宋体" w:hAnsi="宋体" w:cs="宋体"/>
                <w:szCs w:val="21"/>
              </w:rPr>
              <w:t>论文终稿</w:t>
            </w:r>
          </w:p>
          <w:p>
            <w:pPr>
              <w:spacing w:line="380" w:lineRule="exact"/>
              <w:jc w:val="center"/>
              <w:rPr>
                <w:rFonts w:ascii="宋体" w:cs="宋体"/>
                <w:szCs w:val="21"/>
              </w:rPr>
            </w:pPr>
            <w:r>
              <w:rPr>
                <w:rFonts w:hint="eastAsia" w:ascii="宋体" w:hAnsi="宋体" w:cs="宋体"/>
                <w:szCs w:val="21"/>
              </w:rPr>
              <w:t>毕业论文答辩材料等</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724" w:type="dxa"/>
            <w:vAlign w:val="center"/>
          </w:tcPr>
          <w:p>
            <w:pPr>
              <w:spacing w:line="380" w:lineRule="exact"/>
              <w:jc w:val="center"/>
              <w:rPr>
                <w:bCs/>
                <w:szCs w:val="28"/>
              </w:rPr>
            </w:pPr>
          </w:p>
        </w:tc>
        <w:tc>
          <w:tcPr>
            <w:tcW w:w="1394" w:type="dxa"/>
            <w:gridSpan w:val="2"/>
          </w:tcPr>
          <w:p>
            <w:pPr>
              <w:spacing w:line="380" w:lineRule="exact"/>
              <w:jc w:val="center"/>
              <w:rPr>
                <w:bCs/>
                <w:szCs w:val="28"/>
              </w:rPr>
            </w:pPr>
          </w:p>
        </w:tc>
        <w:tc>
          <w:tcPr>
            <w:tcW w:w="4338" w:type="dxa"/>
            <w:gridSpan w:val="7"/>
          </w:tcPr>
          <w:p>
            <w:pPr>
              <w:spacing w:line="380" w:lineRule="exact"/>
              <w:rPr>
                <w:bCs/>
                <w:szCs w:val="28"/>
              </w:rPr>
            </w:pPr>
          </w:p>
        </w:tc>
        <w:tc>
          <w:tcPr>
            <w:tcW w:w="2382" w:type="dxa"/>
            <w:gridSpan w:val="4"/>
          </w:tcPr>
          <w:p>
            <w:pPr>
              <w:spacing w:line="380" w:lineRule="exact"/>
              <w:rPr>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trPr>
        <w:tc>
          <w:tcPr>
            <w:tcW w:w="724" w:type="dxa"/>
          </w:tcPr>
          <w:p>
            <w:pPr>
              <w:spacing w:line="380" w:lineRule="exact"/>
              <w:rPr>
                <w:bCs/>
                <w:szCs w:val="28"/>
              </w:rPr>
            </w:pPr>
          </w:p>
        </w:tc>
        <w:tc>
          <w:tcPr>
            <w:tcW w:w="1394" w:type="dxa"/>
            <w:gridSpan w:val="2"/>
          </w:tcPr>
          <w:p>
            <w:pPr>
              <w:spacing w:line="380" w:lineRule="exact"/>
              <w:rPr>
                <w:bCs/>
                <w:szCs w:val="28"/>
              </w:rPr>
            </w:pPr>
          </w:p>
        </w:tc>
        <w:tc>
          <w:tcPr>
            <w:tcW w:w="4338" w:type="dxa"/>
            <w:gridSpan w:val="7"/>
          </w:tcPr>
          <w:p>
            <w:pPr>
              <w:spacing w:line="380" w:lineRule="exact"/>
              <w:rPr>
                <w:bCs/>
                <w:szCs w:val="28"/>
              </w:rPr>
            </w:pPr>
          </w:p>
        </w:tc>
        <w:tc>
          <w:tcPr>
            <w:tcW w:w="2382" w:type="dxa"/>
            <w:gridSpan w:val="4"/>
          </w:tcPr>
          <w:p>
            <w:pPr>
              <w:spacing w:line="380" w:lineRule="exact"/>
              <w:rPr>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8" w:type="dxa"/>
            <w:gridSpan w:val="14"/>
            <w:vAlign w:val="center"/>
          </w:tcPr>
          <w:p>
            <w:pPr>
              <w:spacing w:line="380" w:lineRule="exact"/>
              <w:rPr>
                <w:b/>
                <w:szCs w:val="28"/>
              </w:rPr>
            </w:pPr>
            <w:r>
              <w:rPr>
                <w:rFonts w:hint="eastAsia"/>
                <w:b/>
                <w:szCs w:val="28"/>
              </w:rPr>
              <w:t>指导教师意见：</w:t>
            </w:r>
          </w:p>
          <w:p>
            <w:pPr>
              <w:spacing w:line="360" w:lineRule="auto"/>
              <w:rPr>
                <w:szCs w:val="28"/>
              </w:rPr>
            </w:pPr>
          </w:p>
          <w:p>
            <w:pPr>
              <w:spacing w:line="360" w:lineRule="auto"/>
              <w:rPr>
                <w:szCs w:val="28"/>
              </w:rPr>
            </w:pPr>
          </w:p>
          <w:p>
            <w:pPr>
              <w:spacing w:line="380" w:lineRule="exact"/>
              <w:rPr>
                <w:szCs w:val="28"/>
              </w:rPr>
            </w:pPr>
          </w:p>
          <w:p>
            <w:pPr>
              <w:spacing w:line="380" w:lineRule="exact"/>
              <w:ind w:firstLine="1680" w:firstLineChars="800"/>
              <w:rPr>
                <w:szCs w:val="21"/>
              </w:rPr>
            </w:pPr>
            <w:r>
              <w:rPr>
                <w:rFonts w:hint="eastAsia"/>
                <w:szCs w:val="21"/>
              </w:rPr>
              <w:t>签字：</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EDE6DC1"/>
    <w:rsid w:val="00141779"/>
    <w:rsid w:val="001E01C9"/>
    <w:rsid w:val="00257D62"/>
    <w:rsid w:val="003C4CEE"/>
    <w:rsid w:val="003E5738"/>
    <w:rsid w:val="004A14C0"/>
    <w:rsid w:val="004F4338"/>
    <w:rsid w:val="005C5DE1"/>
    <w:rsid w:val="00793697"/>
    <w:rsid w:val="0097133F"/>
    <w:rsid w:val="009B08B0"/>
    <w:rsid w:val="00D73211"/>
    <w:rsid w:val="00F10D3E"/>
    <w:rsid w:val="023F3BF1"/>
    <w:rsid w:val="04FC51DB"/>
    <w:rsid w:val="07CF3D6F"/>
    <w:rsid w:val="1EDE6DC1"/>
    <w:rsid w:val="48CB1D94"/>
    <w:rsid w:val="617A5272"/>
    <w:rsid w:val="7614435E"/>
    <w:rsid w:val="76F053B8"/>
    <w:rsid w:val="7AB1241F"/>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4"/>
    <w:link w:val="2"/>
    <w:qFormat/>
    <w:locked/>
    <w:uiPriority w:val="99"/>
    <w:rPr>
      <w:rFonts w:ascii="Times New Roman" w:hAnsi="Times New Roman" w:eastAsia="宋体" w:cs="Times New Roman"/>
      <w:kern w:val="2"/>
      <w:sz w:val="18"/>
      <w:szCs w:val="18"/>
    </w:rPr>
  </w:style>
  <w:style w:type="character" w:customStyle="1" w:styleId="7">
    <w:name w:val="Header Char"/>
    <w:basedOn w:val="4"/>
    <w:link w:val="3"/>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331</Words>
  <Characters>1890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2016-03-14T02:02:00Z</dcterms:created>
  <dc:creator>Administrator</dc:creator>
  <cp:lastModifiedBy>Administrator</cp:lastModifiedBy>
  <dcterms:modified xsi:type="dcterms:W3CDTF">2016-03-26T02:27:00Z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