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b/>
          <w:color w:val="auto"/>
          <w:sz w:val="36"/>
          <w:szCs w:val="36"/>
        </w:rPr>
      </w:pPr>
      <w:r>
        <w:rPr>
          <w:rFonts w:hint="eastAsia" w:ascii="宋体" w:hAnsi="宋体"/>
          <w:b/>
          <w:color w:val="auto"/>
          <w:sz w:val="36"/>
          <w:szCs w:val="36"/>
        </w:rPr>
        <w:t>毕业论文开题报告（文科类）</w:t>
      </w:r>
    </w:p>
    <w:tbl>
      <w:tblPr>
        <w:tblStyle w:val="5"/>
        <w:tblW w:w="8970" w:type="dxa"/>
        <w:tblInd w:w="-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
        <w:gridCol w:w="691"/>
        <w:gridCol w:w="535"/>
        <w:gridCol w:w="985"/>
        <w:gridCol w:w="170"/>
        <w:gridCol w:w="687"/>
        <w:gridCol w:w="352"/>
        <w:gridCol w:w="1275"/>
        <w:gridCol w:w="705"/>
        <w:gridCol w:w="645"/>
        <w:gridCol w:w="240"/>
        <w:gridCol w:w="810"/>
        <w:gridCol w:w="226"/>
        <w:gridCol w:w="449"/>
        <w:gridCol w:w="1111"/>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286" w:type="dxa"/>
            <w:gridSpan w:val="3"/>
          </w:tcPr>
          <w:p>
            <w:pPr>
              <w:spacing w:line="380" w:lineRule="exact"/>
              <w:jc w:val="center"/>
              <w:rPr>
                <w:rFonts w:ascii="宋体" w:cs="宋体"/>
                <w:szCs w:val="28"/>
              </w:rPr>
            </w:pPr>
            <w:r>
              <w:rPr>
                <w:rFonts w:hint="eastAsia" w:ascii="宋体" w:hAnsi="宋体" w:cs="宋体"/>
                <w:bCs/>
                <w:szCs w:val="28"/>
              </w:rPr>
              <w:t>论文题目</w:t>
            </w:r>
          </w:p>
        </w:tc>
        <w:tc>
          <w:tcPr>
            <w:tcW w:w="7684" w:type="dxa"/>
            <w:gridSpan w:val="13"/>
          </w:tcPr>
          <w:p>
            <w:pPr>
              <w:spacing w:line="380" w:lineRule="exact"/>
              <w:jc w:val="center"/>
              <w:rPr>
                <w:rFonts w:ascii="宋体" w:cs="宋体"/>
                <w:b/>
                <w:szCs w:val="28"/>
              </w:rPr>
            </w:pPr>
            <w:r>
              <w:rPr>
                <w:rFonts w:hint="eastAsia" w:ascii="宋体" w:hAnsi="宋体" w:cs="宋体"/>
                <w:b/>
                <w:bCs/>
                <w:szCs w:val="28"/>
              </w:rPr>
              <w:t>带点忧郁</w:t>
            </w:r>
            <w:r>
              <w:rPr>
                <w:rFonts w:ascii="宋体" w:hAnsi="宋体" w:cs="宋体"/>
                <w:b/>
                <w:bCs/>
                <w:szCs w:val="28"/>
              </w:rPr>
              <w:t xml:space="preserve">  </w:t>
            </w:r>
            <w:r>
              <w:rPr>
                <w:rFonts w:hint="eastAsia" w:ascii="宋体" w:hAnsi="宋体" w:cs="宋体"/>
                <w:b/>
                <w:bCs/>
                <w:szCs w:val="28"/>
              </w:rPr>
              <w:t>带点轻狂</w:t>
            </w:r>
            <w:r>
              <w:rPr>
                <w:rFonts w:ascii="宋体" w:hAnsi="宋体" w:cs="宋体"/>
                <w:b/>
                <w:bCs/>
                <w:szCs w:val="28"/>
              </w:rPr>
              <w:t>——</w:t>
            </w:r>
            <w:r>
              <w:rPr>
                <w:rFonts w:hint="eastAsia" w:ascii="宋体" w:hAnsi="宋体" w:cs="宋体"/>
                <w:b/>
                <w:bCs/>
                <w:szCs w:val="28"/>
              </w:rPr>
              <w:t>论丁玲小说中的女性意识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86" w:type="dxa"/>
            <w:gridSpan w:val="3"/>
          </w:tcPr>
          <w:p>
            <w:pPr>
              <w:spacing w:line="380" w:lineRule="exact"/>
              <w:jc w:val="center"/>
              <w:rPr>
                <w:rFonts w:ascii="宋体" w:cs="宋体"/>
                <w:bCs/>
                <w:szCs w:val="28"/>
              </w:rPr>
            </w:pPr>
            <w:r>
              <w:rPr>
                <w:rFonts w:hint="eastAsia" w:ascii="宋体" w:hAnsi="宋体" w:cs="宋体"/>
                <w:bCs/>
                <w:szCs w:val="28"/>
              </w:rPr>
              <w:t>课题来源</w:t>
            </w:r>
          </w:p>
        </w:tc>
        <w:tc>
          <w:tcPr>
            <w:tcW w:w="2194" w:type="dxa"/>
            <w:gridSpan w:val="4"/>
          </w:tcPr>
          <w:p>
            <w:pPr>
              <w:spacing w:line="380" w:lineRule="exact"/>
              <w:jc w:val="center"/>
              <w:rPr>
                <w:rFonts w:ascii="宋体" w:cs="宋体"/>
                <w:bCs/>
                <w:szCs w:val="28"/>
              </w:rPr>
            </w:pPr>
            <w:r>
              <w:rPr>
                <w:rFonts w:hint="eastAsia" w:ascii="宋体" w:hAnsi="宋体" w:cs="宋体"/>
                <w:szCs w:val="21"/>
              </w:rPr>
              <w:t>指导老师在研课题</w:t>
            </w:r>
          </w:p>
        </w:tc>
        <w:tc>
          <w:tcPr>
            <w:tcW w:w="1275" w:type="dxa"/>
          </w:tcPr>
          <w:p>
            <w:pPr>
              <w:spacing w:line="380" w:lineRule="exact"/>
              <w:jc w:val="center"/>
              <w:rPr>
                <w:rFonts w:ascii="宋体" w:cs="宋体"/>
                <w:bCs/>
                <w:szCs w:val="28"/>
              </w:rPr>
            </w:pPr>
            <w:r>
              <w:rPr>
                <w:rFonts w:hint="eastAsia" w:ascii="宋体" w:hAnsi="宋体" w:cs="宋体"/>
                <w:bCs/>
                <w:szCs w:val="28"/>
              </w:rPr>
              <w:t>课题类别</w:t>
            </w:r>
          </w:p>
        </w:tc>
        <w:tc>
          <w:tcPr>
            <w:tcW w:w="1350" w:type="dxa"/>
            <w:gridSpan w:val="2"/>
          </w:tcPr>
          <w:p>
            <w:pPr>
              <w:spacing w:line="380" w:lineRule="exact"/>
              <w:jc w:val="center"/>
              <w:rPr>
                <w:rFonts w:ascii="宋体" w:cs="宋体"/>
                <w:bCs/>
                <w:szCs w:val="28"/>
              </w:rPr>
            </w:pPr>
            <w:r>
              <w:rPr>
                <w:rFonts w:hint="eastAsia" w:ascii="宋体" w:hAnsi="宋体" w:cs="宋体"/>
                <w:bCs/>
                <w:szCs w:val="28"/>
              </w:rPr>
              <w:t>理论研究</w:t>
            </w:r>
          </w:p>
        </w:tc>
        <w:tc>
          <w:tcPr>
            <w:tcW w:w="1276" w:type="dxa"/>
            <w:gridSpan w:val="3"/>
          </w:tcPr>
          <w:p>
            <w:pPr>
              <w:spacing w:line="380" w:lineRule="exact"/>
              <w:jc w:val="center"/>
              <w:rPr>
                <w:rFonts w:ascii="宋体" w:cs="宋体"/>
                <w:bCs/>
                <w:szCs w:val="28"/>
              </w:rPr>
            </w:pPr>
            <w:r>
              <w:rPr>
                <w:rFonts w:hint="eastAsia" w:ascii="宋体" w:hAnsi="宋体" w:cs="宋体"/>
                <w:bCs/>
                <w:szCs w:val="28"/>
              </w:rPr>
              <w:t>指导教师</w:t>
            </w:r>
          </w:p>
        </w:tc>
        <w:tc>
          <w:tcPr>
            <w:tcW w:w="1589" w:type="dxa"/>
            <w:gridSpan w:val="3"/>
          </w:tcPr>
          <w:p>
            <w:pPr>
              <w:spacing w:line="380" w:lineRule="exact"/>
              <w:jc w:val="center"/>
              <w:rPr>
                <w:rFonts w:ascii="宋体" w:cs="宋体"/>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86" w:type="dxa"/>
            <w:gridSpan w:val="3"/>
          </w:tcPr>
          <w:p>
            <w:pPr>
              <w:spacing w:line="400" w:lineRule="exact"/>
              <w:jc w:val="center"/>
              <w:rPr>
                <w:rFonts w:ascii="宋体" w:cs="宋体"/>
                <w:bCs/>
                <w:szCs w:val="28"/>
              </w:rPr>
            </w:pPr>
            <w:r>
              <w:rPr>
                <w:rFonts w:hint="eastAsia" w:ascii="宋体" w:hAnsi="宋体" w:cs="宋体"/>
                <w:bCs/>
                <w:szCs w:val="28"/>
              </w:rPr>
              <w:t>学生姓名</w:t>
            </w:r>
          </w:p>
        </w:tc>
        <w:tc>
          <w:tcPr>
            <w:tcW w:w="1155" w:type="dxa"/>
            <w:gridSpan w:val="2"/>
          </w:tcPr>
          <w:p>
            <w:pPr>
              <w:spacing w:line="400" w:lineRule="exact"/>
              <w:jc w:val="center"/>
              <w:rPr>
                <w:rFonts w:ascii="宋体" w:cs="宋体"/>
                <w:bCs/>
                <w:szCs w:val="28"/>
              </w:rPr>
            </w:pPr>
          </w:p>
        </w:tc>
        <w:tc>
          <w:tcPr>
            <w:tcW w:w="687" w:type="dxa"/>
          </w:tcPr>
          <w:p>
            <w:pPr>
              <w:spacing w:line="400" w:lineRule="exact"/>
              <w:jc w:val="center"/>
              <w:rPr>
                <w:rFonts w:ascii="宋体" w:cs="宋体"/>
                <w:bCs/>
                <w:szCs w:val="28"/>
              </w:rPr>
            </w:pPr>
            <w:r>
              <w:rPr>
                <w:rFonts w:hint="eastAsia" w:ascii="宋体" w:hAnsi="宋体" w:cs="宋体"/>
                <w:bCs/>
                <w:szCs w:val="28"/>
              </w:rPr>
              <w:t>学号</w:t>
            </w:r>
          </w:p>
        </w:tc>
        <w:tc>
          <w:tcPr>
            <w:tcW w:w="1627" w:type="dxa"/>
            <w:gridSpan w:val="2"/>
          </w:tcPr>
          <w:p>
            <w:pPr>
              <w:jc w:val="center"/>
              <w:rPr>
                <w:rFonts w:ascii="宋体" w:cs="宋体"/>
                <w:bCs/>
                <w:szCs w:val="28"/>
              </w:rPr>
            </w:pPr>
          </w:p>
        </w:tc>
        <w:tc>
          <w:tcPr>
            <w:tcW w:w="705" w:type="dxa"/>
          </w:tcPr>
          <w:p>
            <w:pPr>
              <w:spacing w:line="400" w:lineRule="exact"/>
              <w:jc w:val="center"/>
              <w:rPr>
                <w:rFonts w:ascii="宋体" w:cs="宋体"/>
                <w:bCs/>
                <w:szCs w:val="28"/>
              </w:rPr>
            </w:pPr>
            <w:r>
              <w:rPr>
                <w:rFonts w:hint="eastAsia" w:ascii="宋体" w:hAnsi="宋体" w:cs="宋体"/>
                <w:bCs/>
                <w:szCs w:val="28"/>
              </w:rPr>
              <w:t>专业</w:t>
            </w:r>
          </w:p>
        </w:tc>
        <w:tc>
          <w:tcPr>
            <w:tcW w:w="1695" w:type="dxa"/>
            <w:gridSpan w:val="3"/>
          </w:tcPr>
          <w:p>
            <w:pPr>
              <w:spacing w:line="400" w:lineRule="exact"/>
              <w:jc w:val="center"/>
              <w:rPr>
                <w:rFonts w:ascii="宋体" w:cs="宋体"/>
                <w:bCs/>
                <w:szCs w:val="28"/>
              </w:rPr>
            </w:pPr>
          </w:p>
        </w:tc>
        <w:tc>
          <w:tcPr>
            <w:tcW w:w="675" w:type="dxa"/>
            <w:gridSpan w:val="2"/>
          </w:tcPr>
          <w:p>
            <w:pPr>
              <w:spacing w:line="400" w:lineRule="exact"/>
              <w:jc w:val="center"/>
              <w:rPr>
                <w:rFonts w:ascii="宋体" w:cs="宋体"/>
                <w:bCs/>
                <w:szCs w:val="28"/>
              </w:rPr>
            </w:pPr>
            <w:r>
              <w:rPr>
                <w:rFonts w:hint="eastAsia" w:ascii="宋体" w:hAnsi="宋体" w:cs="宋体"/>
                <w:bCs/>
                <w:szCs w:val="28"/>
              </w:rPr>
              <w:t>班级</w:t>
            </w:r>
          </w:p>
        </w:tc>
        <w:tc>
          <w:tcPr>
            <w:tcW w:w="1140" w:type="dxa"/>
            <w:gridSpan w:val="2"/>
          </w:tcPr>
          <w:p>
            <w:pPr>
              <w:spacing w:line="400" w:lineRule="exact"/>
              <w:jc w:val="center"/>
              <w:rPr>
                <w:rFonts w:ascii="宋体" w:cs="宋体"/>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2" w:hRule="atLeast"/>
        </w:trPr>
        <w:tc>
          <w:tcPr>
            <w:tcW w:w="8970" w:type="dxa"/>
            <w:gridSpan w:val="16"/>
          </w:tcPr>
          <w:p>
            <w:pPr>
              <w:spacing w:line="380" w:lineRule="exact"/>
              <w:rPr>
                <w:rFonts w:ascii="宋体" w:cs="宋体"/>
                <w:b/>
                <w:szCs w:val="21"/>
              </w:rPr>
            </w:pPr>
            <w:r>
              <w:rPr>
                <w:rFonts w:hint="eastAsia" w:ascii="宋体" w:hAnsi="宋体" w:cs="宋体"/>
                <w:b/>
                <w:szCs w:val="28"/>
              </w:rPr>
              <w:t>一、课题的目的和意义：</w:t>
            </w:r>
          </w:p>
          <w:p>
            <w:pPr>
              <w:spacing w:line="380" w:lineRule="exact"/>
              <w:ind w:firstLine="420" w:firstLineChars="200"/>
              <w:rPr>
                <w:rFonts w:ascii="宋体" w:cs="宋体"/>
                <w:b/>
                <w:szCs w:val="28"/>
              </w:rPr>
            </w:pPr>
            <w:r>
              <w:rPr>
                <w:rFonts w:ascii="宋体" w:hAnsi="宋体" w:cs="宋体"/>
                <w:szCs w:val="21"/>
              </w:rPr>
              <w:t>20</w:t>
            </w:r>
            <w:r>
              <w:rPr>
                <w:rFonts w:hint="eastAsia" w:ascii="宋体" w:hAnsi="宋体" w:cs="宋体"/>
                <w:szCs w:val="21"/>
              </w:rPr>
              <w:t>世纪</w:t>
            </w:r>
            <w:r>
              <w:rPr>
                <w:rFonts w:ascii="宋体" w:hAnsi="宋体" w:cs="宋体"/>
                <w:szCs w:val="21"/>
              </w:rPr>
              <w:t>30</w:t>
            </w:r>
            <w:r>
              <w:rPr>
                <w:rFonts w:hint="eastAsia" w:ascii="宋体" w:hAnsi="宋体" w:cs="宋体"/>
                <w:szCs w:val="21"/>
              </w:rPr>
              <w:t>年代，丁玲的小说以带点忧郁、带点轻狂的女性色彩攫取了读者的感情，她继承了“五四”时期冰心、</w:t>
            </w:r>
            <w:r>
              <w:rPr>
                <w:rFonts w:hint="eastAsia" w:ascii="宋体" w:hAnsi="宋体" w:cs="宋体"/>
                <w:color w:val="333333"/>
                <w:szCs w:val="21"/>
                <w:shd w:val="clear" w:color="auto" w:fill="FFFFFF"/>
              </w:rPr>
              <w:t>石屏梅、</w:t>
            </w:r>
            <w:r>
              <w:rPr>
                <w:rFonts w:hint="eastAsia" w:ascii="宋体" w:hAnsi="宋体" w:cs="宋体"/>
                <w:szCs w:val="21"/>
              </w:rPr>
              <w:t>庐隐、凌淑华这些女作家反叛和抗争封建专制的精神，但其笔下小资产阶级女性叛逆、苦闷、倔强、绝望、追求、神经质的典型形象给人耳目一新之感，超越了冰心、</w:t>
            </w:r>
            <w:r>
              <w:rPr>
                <w:rFonts w:hint="eastAsia" w:ascii="宋体" w:hAnsi="宋体" w:cs="宋体"/>
                <w:color w:val="333333"/>
                <w:szCs w:val="21"/>
                <w:shd w:val="clear" w:color="auto" w:fill="FFFFFF"/>
              </w:rPr>
              <w:t>石屏梅、</w:t>
            </w:r>
            <w:r>
              <w:rPr>
                <w:rFonts w:hint="eastAsia" w:ascii="宋体" w:hAnsi="宋体" w:cs="宋体"/>
                <w:szCs w:val="21"/>
              </w:rPr>
              <w:t>庐隐、凌淑华这些“五四”女作家。丁玲喊出了中国旧时代女子的苦闷，她对女性的理解相当深刻。丁玲小说的女性意识是其小说的一大亮点，对丁玲小说女性意识的研究，有助于丁玲小说创作思想的研究，以及中国现代女性文学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25" w:hRule="atLeast"/>
        </w:trPr>
        <w:tc>
          <w:tcPr>
            <w:tcW w:w="8970" w:type="dxa"/>
            <w:gridSpan w:val="16"/>
          </w:tcPr>
          <w:p>
            <w:pPr>
              <w:spacing w:line="380" w:lineRule="exact"/>
              <w:rPr>
                <w:rFonts w:ascii="宋体" w:cs="宋体"/>
                <w:b/>
                <w:szCs w:val="28"/>
              </w:rPr>
            </w:pPr>
            <w:r>
              <w:rPr>
                <w:rFonts w:hint="eastAsia" w:ascii="宋体" w:hAnsi="宋体" w:cs="宋体"/>
                <w:b/>
                <w:szCs w:val="28"/>
              </w:rPr>
              <w:t>二、文献综述：</w:t>
            </w:r>
          </w:p>
          <w:p>
            <w:pPr>
              <w:spacing w:line="360" w:lineRule="exact"/>
              <w:ind w:firstLine="420" w:firstLineChars="200"/>
              <w:jc w:val="left"/>
              <w:rPr>
                <w:rFonts w:ascii="宋体" w:cs="宋体"/>
                <w:color w:val="000000"/>
                <w:szCs w:val="21"/>
              </w:rPr>
            </w:pPr>
            <w:r>
              <w:rPr>
                <w:rFonts w:hint="eastAsia" w:ascii="宋体" w:hAnsi="宋体" w:cs="宋体"/>
                <w:szCs w:val="21"/>
              </w:rPr>
              <w:t>在我国现当代文学史上，丁玲对我国现当代文学的杰出贡献和深远影响，尤其是她笔下猖介任性、反抗传统、叛逆倔强、热烈追求人生的“莎菲”形象更是成为丁玲小说的一颗明珠，</w:t>
            </w:r>
            <w:r>
              <w:rPr>
                <w:rFonts w:hint="eastAsia" w:ascii="宋体" w:hAnsi="宋体" w:cs="宋体"/>
                <w:color w:val="000000"/>
                <w:szCs w:val="21"/>
              </w:rPr>
              <w:t>因此</w:t>
            </w:r>
            <w:r>
              <w:rPr>
                <w:rFonts w:hint="eastAsia" w:ascii="宋体" w:hAnsi="宋体" w:cs="宋体"/>
                <w:szCs w:val="21"/>
              </w:rPr>
              <w:t>，近年来，国内丁玲研究的专著与论文很多。如许馨的专著</w:t>
            </w:r>
            <w:r>
              <w:rPr>
                <w:rFonts w:hint="eastAsia" w:ascii="宋体" w:hAnsi="宋体" w:cs="宋体"/>
                <w:color w:val="000000"/>
                <w:szCs w:val="21"/>
              </w:rPr>
              <w:t>《网络资源下的学术研究</w:t>
            </w:r>
            <w:r>
              <w:rPr>
                <w:rFonts w:ascii="宋体" w:hAnsi="宋体" w:cs="宋体"/>
                <w:color w:val="000000"/>
                <w:szCs w:val="21"/>
              </w:rPr>
              <w:t>——</w:t>
            </w:r>
            <w:r>
              <w:rPr>
                <w:rFonts w:hint="eastAsia" w:ascii="宋体" w:hAnsi="宋体" w:cs="宋体"/>
                <w:color w:val="000000"/>
                <w:szCs w:val="21"/>
              </w:rPr>
              <w:t>以丁玲研究为例》，以现代文学作家丁玲为主题展开研究，通过信息检索、信息整理、得出结论等步骤，展示完成这一主题的科研过程。又如王明丽的论文《女性·革命·政治</w:t>
            </w:r>
            <w:r>
              <w:rPr>
                <w:rFonts w:ascii="宋体" w:hAnsi="宋体" w:cs="宋体"/>
                <w:color w:val="000000"/>
                <w:szCs w:val="21"/>
              </w:rPr>
              <w:t>——</w:t>
            </w:r>
            <w:r>
              <w:rPr>
                <w:rFonts w:hint="eastAsia" w:ascii="宋体" w:hAnsi="宋体" w:cs="宋体"/>
                <w:color w:val="000000"/>
                <w:szCs w:val="21"/>
              </w:rPr>
              <w:t>论丁玲女性意识的深化与超越》，主要阐述了</w:t>
            </w:r>
            <w:r>
              <w:rPr>
                <w:rFonts w:hint="eastAsia" w:ascii="宋体" w:hAnsi="宋体" w:cs="宋体"/>
                <w:kern w:val="0"/>
                <w:szCs w:val="21"/>
              </w:rPr>
              <w:t>丁玲女性意识深化和超越的螺旋式上升轨迹，来自自我反思的批判意蕴以及对男权意识的批判。</w:t>
            </w:r>
            <w:r>
              <w:rPr>
                <w:rFonts w:hint="eastAsia" w:ascii="宋体" w:hAnsi="宋体" w:cs="宋体"/>
                <w:color w:val="000000"/>
                <w:szCs w:val="21"/>
              </w:rPr>
              <w:t>姚辉论文《丁玲小说的女性意识》，从女性的觉醒与矛盾、女性主义爱情理想的陨落以及文字背后的思考等方面阐发了丁玲独立的女性意识的火花之美。这些论著从不同的方面对丁玲进行了深入的研究。</w:t>
            </w:r>
          </w:p>
          <w:p>
            <w:pPr>
              <w:spacing w:line="360" w:lineRule="exact"/>
              <w:ind w:firstLine="420" w:firstLineChars="200"/>
              <w:rPr>
                <w:rFonts w:ascii="宋体" w:cs="宋体"/>
                <w:szCs w:val="21"/>
              </w:rPr>
            </w:pPr>
            <w:r>
              <w:rPr>
                <w:rFonts w:hint="eastAsia" w:ascii="宋体" w:hAnsi="宋体" w:cs="宋体"/>
                <w:szCs w:val="21"/>
              </w:rPr>
              <w:t>丁玲丰富的文学遗产和鲜明的艺术特色为世人所瞩目。丁玲不仅是中国的，更是国际的。自丁玲</w:t>
            </w:r>
            <w:r>
              <w:rPr>
                <w:rFonts w:ascii="宋体" w:hAnsi="宋体" w:cs="宋体"/>
                <w:szCs w:val="21"/>
              </w:rPr>
              <w:t>20</w:t>
            </w:r>
            <w:r>
              <w:rPr>
                <w:rFonts w:hint="eastAsia" w:ascii="宋体" w:hAnsi="宋体" w:cs="宋体"/>
                <w:szCs w:val="21"/>
              </w:rPr>
              <w:t>世纪</w:t>
            </w:r>
            <w:r>
              <w:rPr>
                <w:rFonts w:ascii="宋体" w:hAnsi="宋体" w:cs="宋体"/>
                <w:szCs w:val="21"/>
              </w:rPr>
              <w:t>30</w:t>
            </w:r>
            <w:r>
              <w:rPr>
                <w:rFonts w:hint="eastAsia" w:ascii="宋体" w:hAnsi="宋体" w:cs="宋体"/>
                <w:szCs w:val="21"/>
              </w:rPr>
              <w:t>年代成名以来，丁玲作品先后被翻译成</w:t>
            </w:r>
            <w:r>
              <w:rPr>
                <w:rFonts w:ascii="宋体" w:hAnsi="宋体" w:cs="宋体"/>
                <w:szCs w:val="21"/>
              </w:rPr>
              <w:t>20</w:t>
            </w:r>
            <w:r>
              <w:rPr>
                <w:rFonts w:hint="eastAsia" w:ascii="宋体" w:hAnsi="宋体" w:cs="宋体"/>
                <w:szCs w:val="21"/>
              </w:rPr>
              <w:t>多种文字，国外对丁玲的研究一直也没间断过，新加坡、美国、日本、苏联、德国、法国、保加利亚等国家对丁玲的研究比较活跃。</w:t>
            </w:r>
          </w:p>
          <w:p>
            <w:pPr>
              <w:spacing w:line="380" w:lineRule="exact"/>
              <w:ind w:firstLine="420" w:firstLineChars="200"/>
              <w:rPr>
                <w:rFonts w:ascii="宋体" w:cs="宋体"/>
                <w:szCs w:val="21"/>
              </w:rPr>
            </w:pPr>
            <w:r>
              <w:rPr>
                <w:rFonts w:hint="eastAsia" w:ascii="宋体" w:hAnsi="宋体" w:cs="宋体"/>
                <w:szCs w:val="21"/>
              </w:rPr>
              <w:t>目前，国外丁玲研究所涉及的领域有：（</w:t>
            </w:r>
            <w:r>
              <w:rPr>
                <w:rFonts w:ascii="宋体" w:hAnsi="宋体" w:cs="宋体"/>
                <w:szCs w:val="21"/>
              </w:rPr>
              <w:t>1</w:t>
            </w:r>
            <w:r>
              <w:rPr>
                <w:rFonts w:hint="eastAsia" w:ascii="宋体" w:hAnsi="宋体" w:cs="宋体"/>
                <w:szCs w:val="21"/>
              </w:rPr>
              <w:t>）丁玲创作思想研究。（</w:t>
            </w:r>
            <w:r>
              <w:rPr>
                <w:rFonts w:ascii="宋体" w:hAnsi="宋体" w:cs="宋体"/>
                <w:szCs w:val="21"/>
              </w:rPr>
              <w:t>2</w:t>
            </w:r>
            <w:r>
              <w:rPr>
                <w:rFonts w:hint="eastAsia" w:ascii="宋体" w:hAnsi="宋体" w:cs="宋体"/>
                <w:szCs w:val="21"/>
              </w:rPr>
              <w:t>）丁玲人格研究。（</w:t>
            </w:r>
            <w:r>
              <w:rPr>
                <w:rFonts w:ascii="宋体" w:hAnsi="宋体" w:cs="宋体"/>
                <w:szCs w:val="21"/>
              </w:rPr>
              <w:t>3</w:t>
            </w:r>
            <w:r>
              <w:rPr>
                <w:rFonts w:hint="eastAsia" w:ascii="宋体" w:hAnsi="宋体" w:cs="宋体"/>
                <w:szCs w:val="21"/>
              </w:rPr>
              <w:t>）丁玲作品的文本分析研究。（</w:t>
            </w:r>
            <w:r>
              <w:rPr>
                <w:rFonts w:ascii="宋体" w:hAnsi="宋体" w:cs="宋体"/>
                <w:szCs w:val="21"/>
              </w:rPr>
              <w:t>4</w:t>
            </w:r>
            <w:r>
              <w:rPr>
                <w:rFonts w:hint="eastAsia" w:ascii="宋体" w:hAnsi="宋体" w:cs="宋体"/>
                <w:szCs w:val="21"/>
              </w:rPr>
              <w:t>）丁玲文学创作得失研究。（</w:t>
            </w:r>
            <w:r>
              <w:rPr>
                <w:rFonts w:ascii="宋体" w:hAnsi="宋体" w:cs="宋体"/>
                <w:szCs w:val="21"/>
              </w:rPr>
              <w:t>5</w:t>
            </w:r>
            <w:r>
              <w:rPr>
                <w:rFonts w:hint="eastAsia" w:ascii="宋体" w:hAnsi="宋体" w:cs="宋体"/>
                <w:szCs w:val="21"/>
              </w:rPr>
              <w:t>）关于丁玲研究的感想。（</w:t>
            </w:r>
            <w:r>
              <w:rPr>
                <w:rFonts w:ascii="宋体" w:hAnsi="宋体" w:cs="宋体"/>
                <w:szCs w:val="21"/>
              </w:rPr>
              <w:t>6</w:t>
            </w:r>
            <w:r>
              <w:rPr>
                <w:rFonts w:hint="eastAsia" w:ascii="宋体" w:hAnsi="宋体" w:cs="宋体"/>
                <w:szCs w:val="21"/>
              </w:rPr>
              <w:t>）丁玲女性意识研究。在丁玲女性意识研究方面，日本江上幸子教授在论文《现代中国的“新妇女”话语与作为“摩登女郎”代言人的丁玲》中认为，清末至日中全面战争之前的“新妇女”话语可分为五个时期：贤妻良母时期、“娜拉”时期、职业妇女时期、摩登女郎时期、劳动妇女时期。再如，日本前山加奈子在第十次丁玲国际学术研讨会上提交的论文《三位女性与作家丁玲的诞生》，探讨了王剑虹、向警予、余曼贞三位女性对丁玲心路历程的影响，作者这种从女性的角度来探讨问题的手段，本身就是一种女性意识的研究。</w:t>
            </w:r>
          </w:p>
          <w:p>
            <w:pPr>
              <w:spacing w:line="380" w:lineRule="exact"/>
              <w:rPr>
                <w:rFonts w:ascii="宋体" w:cs="宋体"/>
                <w:szCs w:val="21"/>
              </w:rPr>
            </w:pPr>
            <w:r>
              <w:rPr>
                <w:rFonts w:ascii="宋体" w:hAnsi="宋体" w:cs="宋体"/>
                <w:szCs w:val="21"/>
              </w:rPr>
              <w:t xml:space="preserve">    </w:t>
            </w:r>
            <w:r>
              <w:rPr>
                <w:rFonts w:hint="eastAsia" w:ascii="宋体" w:hAnsi="宋体" w:cs="宋体"/>
                <w:szCs w:val="21"/>
              </w:rPr>
              <w:t>目前的学界对丁玲的研究在重视作家个体与时代关联的同时也对丁玲的“女性作家”这一身份特质给予了关注，但这样的女性意识视角的考察也还是更多地与革命这一关键词放置在一起，对作家精神的直接反映：作品文本的关注要少一些，这也是一个值得进一步深化的研究视角。</w:t>
            </w:r>
          </w:p>
          <w:p>
            <w:pPr>
              <w:spacing w:line="38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5170" w:hRule="atLeast"/>
        </w:trPr>
        <w:tc>
          <w:tcPr>
            <w:tcW w:w="8881" w:type="dxa"/>
            <w:gridSpan w:val="14"/>
          </w:tcPr>
          <w:p>
            <w:pPr>
              <w:spacing w:line="380" w:lineRule="exact"/>
              <w:rPr>
                <w:rFonts w:ascii="宋体" w:cs="宋体"/>
                <w:b/>
                <w:szCs w:val="21"/>
              </w:rPr>
            </w:pPr>
            <w:r>
              <w:rPr>
                <w:rFonts w:hint="eastAsia" w:ascii="宋体" w:hAnsi="宋体" w:cs="宋体"/>
                <w:b/>
                <w:szCs w:val="21"/>
              </w:rPr>
              <w:t>三、课题研究的内容、方法和预期目标：</w:t>
            </w:r>
          </w:p>
          <w:p>
            <w:pPr>
              <w:spacing w:line="380" w:lineRule="exact"/>
              <w:ind w:firstLine="422" w:firstLineChars="200"/>
              <w:rPr>
                <w:rFonts w:ascii="宋体" w:cs="宋体"/>
                <w:szCs w:val="21"/>
              </w:rPr>
            </w:pPr>
            <w:r>
              <w:rPr>
                <w:rFonts w:hint="eastAsia" w:ascii="宋体" w:hAnsi="宋体" w:cs="宋体"/>
                <w:b/>
                <w:bCs/>
                <w:szCs w:val="21"/>
              </w:rPr>
              <w:t>研究内容：</w:t>
            </w:r>
            <w:r>
              <w:rPr>
                <w:rFonts w:hint="eastAsia" w:ascii="宋体" w:hAnsi="宋体" w:cs="宋体"/>
                <w:szCs w:val="21"/>
              </w:rPr>
              <w:t>一、丁玲小说中的女性形象（一）早期蔑视世俗、追求自我、享受爱情、幻想情爱的“梦珂”“莎菲”们；（二）左联时期充满人生热情与女性幻想、果敢坚定的“丽嘉”们；（三）解放区时代反封建、投身革命、不甘心被压抑与被摧残的“贞贞”“陆萍”们</w:t>
            </w:r>
          </w:p>
          <w:p>
            <w:pPr>
              <w:spacing w:line="380" w:lineRule="exact"/>
              <w:ind w:firstLine="420" w:firstLineChars="200"/>
              <w:jc w:val="left"/>
              <w:rPr>
                <w:rFonts w:ascii="宋体" w:cs="宋体"/>
                <w:szCs w:val="21"/>
              </w:rPr>
            </w:pPr>
            <w:r>
              <w:rPr>
                <w:rFonts w:hint="eastAsia" w:ascii="宋体" w:hAnsi="宋体" w:cs="宋体"/>
                <w:szCs w:val="21"/>
              </w:rPr>
              <w:t>二、丁玲小说中的女性意识</w:t>
            </w:r>
            <w:r>
              <w:rPr>
                <w:rFonts w:ascii="宋体" w:hAnsi="宋体" w:cs="宋体"/>
                <w:szCs w:val="21"/>
              </w:rPr>
              <w:t xml:space="preserve"> </w:t>
            </w:r>
            <w:r>
              <w:rPr>
                <w:rFonts w:hint="eastAsia" w:ascii="宋体" w:hAnsi="宋体" w:cs="宋体"/>
                <w:szCs w:val="21"/>
              </w:rPr>
              <w:t>（一）反叛和抗争封建专制传统的女性意识的继承；（二）苦闷空虚、幻想情爱、追求自我的女性意识的独立</w:t>
            </w:r>
          </w:p>
          <w:p>
            <w:pPr>
              <w:spacing w:line="380" w:lineRule="exact"/>
              <w:ind w:firstLine="420" w:firstLineChars="200"/>
              <w:jc w:val="left"/>
              <w:rPr>
                <w:rFonts w:ascii="宋体" w:cs="宋体"/>
                <w:szCs w:val="21"/>
              </w:rPr>
            </w:pPr>
            <w:r>
              <w:rPr>
                <w:rFonts w:hint="eastAsia" w:ascii="宋体" w:hAnsi="宋体" w:cs="宋体"/>
                <w:szCs w:val="21"/>
              </w:rPr>
              <w:t>三、丁玲女性意识的根源（一）丁玲女性意识的性格根源</w:t>
            </w:r>
            <w:r>
              <w:rPr>
                <w:rFonts w:ascii="宋体" w:hAnsi="宋体" w:cs="宋体"/>
                <w:szCs w:val="21"/>
              </w:rPr>
              <w:t xml:space="preserve">  1.</w:t>
            </w:r>
            <w:r>
              <w:rPr>
                <w:rFonts w:hint="eastAsia" w:ascii="宋体" w:hAnsi="宋体" w:cs="宋体"/>
                <w:szCs w:val="21"/>
              </w:rPr>
              <w:t>敏感、细腻与文雅</w:t>
            </w:r>
            <w:r>
              <w:rPr>
                <w:rFonts w:ascii="宋体" w:hAnsi="宋体" w:cs="宋体"/>
                <w:szCs w:val="21"/>
              </w:rPr>
              <w:t xml:space="preserve">  2.</w:t>
            </w:r>
            <w:r>
              <w:rPr>
                <w:rFonts w:hint="eastAsia" w:ascii="宋体" w:hAnsi="宋体" w:cs="宋体"/>
                <w:szCs w:val="21"/>
              </w:rPr>
              <w:t>倔强、叛逆与激烈；（二）丁玲女性意识的时代根源</w:t>
            </w:r>
          </w:p>
          <w:p>
            <w:pPr>
              <w:spacing w:line="380" w:lineRule="exact"/>
              <w:ind w:firstLine="422" w:firstLineChars="200"/>
              <w:jc w:val="left"/>
              <w:rPr>
                <w:rFonts w:ascii="宋体" w:cs="宋体"/>
                <w:szCs w:val="21"/>
              </w:rPr>
            </w:pPr>
            <w:r>
              <w:rPr>
                <w:rFonts w:hint="eastAsia" w:ascii="宋体" w:hAnsi="宋体" w:cs="宋体"/>
                <w:b/>
                <w:bCs/>
                <w:szCs w:val="21"/>
              </w:rPr>
              <w:t>预期目标：</w:t>
            </w:r>
            <w:r>
              <w:rPr>
                <w:rFonts w:hint="eastAsia" w:ascii="宋体" w:hAnsi="宋体" w:cs="宋体"/>
                <w:szCs w:val="21"/>
              </w:rPr>
              <w:t>丁玲小说中的“莎菲”形象以其特有的形象气质闪耀于文坛，丁玲笔下的女性是文坛中的奇葩。本论文通过对丁玲小说中女性形象的分析研究来探索其小说中强烈的女性意识，并通过分析研究当时时代背景下女性的表现以及丁玲自身的性格因素对其创作的影响，来加深对丁玲小说中女性意识的理解。</w:t>
            </w:r>
          </w:p>
          <w:p>
            <w:pPr>
              <w:adjustRightInd w:val="0"/>
              <w:snapToGrid w:val="0"/>
              <w:spacing w:line="380" w:lineRule="exact"/>
              <w:ind w:firstLine="422" w:firstLineChars="200"/>
              <w:rPr>
                <w:rFonts w:ascii="宋体" w:cs="宋体"/>
                <w:b/>
                <w:szCs w:val="21"/>
              </w:rPr>
            </w:pPr>
            <w:r>
              <w:rPr>
                <w:rFonts w:hint="eastAsia" w:ascii="宋体" w:hAnsi="宋体" w:cs="宋体"/>
                <w:b/>
                <w:bCs/>
                <w:szCs w:val="21"/>
              </w:rPr>
              <w:t>研究方法：</w:t>
            </w:r>
            <w:r>
              <w:rPr>
                <w:rFonts w:hint="eastAsia" w:ascii="宋体" w:hAnsi="宋体" w:cs="宋体"/>
                <w:szCs w:val="21"/>
              </w:rPr>
              <w:t>主要运用女性主义文学批评方法，剖析丁玲创作的女性形象所呈现的女性意识，另外，结合丁玲的生平经历及当时的社会文化运动，运用历史、文化批评的方法，分析丁玲女性主义立场形成的原因。在具体的文本分析上，采用比较法和文本细读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1048" w:hRule="atLeast"/>
        </w:trPr>
        <w:tc>
          <w:tcPr>
            <w:tcW w:w="8881" w:type="dxa"/>
            <w:gridSpan w:val="14"/>
          </w:tcPr>
          <w:p>
            <w:pPr>
              <w:spacing w:line="380" w:lineRule="exact"/>
              <w:rPr>
                <w:rFonts w:ascii="宋体" w:cs="宋体"/>
                <w:b/>
                <w:szCs w:val="21"/>
              </w:rPr>
            </w:pPr>
            <w:r>
              <w:rPr>
                <w:rFonts w:hint="eastAsia" w:ascii="宋体" w:hAnsi="宋体" w:cs="宋体"/>
                <w:b/>
                <w:szCs w:val="21"/>
              </w:rPr>
              <w:t>四、所需要的条件：</w:t>
            </w:r>
          </w:p>
          <w:p>
            <w:pPr>
              <w:spacing w:line="380" w:lineRule="exact"/>
              <w:ind w:firstLine="420" w:firstLineChars="200"/>
              <w:rPr>
                <w:rFonts w:ascii="宋体" w:cs="宋体"/>
                <w:b/>
                <w:color w:val="FF0000"/>
                <w:szCs w:val="21"/>
              </w:rPr>
            </w:pPr>
            <w:r>
              <w:rPr>
                <w:rFonts w:hint="eastAsia" w:ascii="宋体" w:hAnsi="宋体" w:cs="宋体"/>
                <w:szCs w:val="21"/>
              </w:rPr>
              <w:t>完成本论文需要丁玲的小说作品，发表在中国知网上的关于小说研究的各类文章，文学理论书籍，及指导老师的专业指导。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315" w:hRule="atLeast"/>
        </w:trPr>
        <w:tc>
          <w:tcPr>
            <w:tcW w:w="8881" w:type="dxa"/>
            <w:gridSpan w:val="14"/>
            <w:vAlign w:val="center"/>
          </w:tcPr>
          <w:p>
            <w:pPr>
              <w:spacing w:line="440" w:lineRule="exact"/>
              <w:ind w:left="210" w:leftChars="100"/>
              <w:jc w:val="left"/>
              <w:rPr>
                <w:rFonts w:ascii="宋体" w:cs="宋体"/>
                <w:b/>
                <w:szCs w:val="21"/>
              </w:rPr>
            </w:pPr>
            <w:r>
              <w:rPr>
                <w:rFonts w:hint="eastAsia" w:ascii="宋体" w:hAnsi="宋体" w:cs="宋体"/>
                <w:b/>
                <w:szCs w:val="21"/>
              </w:rPr>
              <w:t>五、课题分阶段进度计划：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300" w:hRule="atLeast"/>
        </w:trPr>
        <w:tc>
          <w:tcPr>
            <w:tcW w:w="691" w:type="dxa"/>
          </w:tcPr>
          <w:p>
            <w:pPr>
              <w:spacing w:line="380" w:lineRule="exact"/>
              <w:jc w:val="center"/>
              <w:rPr>
                <w:rFonts w:ascii="宋体" w:cs="宋体"/>
                <w:b/>
                <w:szCs w:val="21"/>
              </w:rPr>
            </w:pPr>
            <w:r>
              <w:rPr>
                <w:rFonts w:hint="eastAsia" w:ascii="宋体" w:hAnsi="宋体" w:cs="宋体"/>
                <w:b/>
                <w:szCs w:val="21"/>
              </w:rPr>
              <w:t>序号</w:t>
            </w:r>
          </w:p>
        </w:tc>
        <w:tc>
          <w:tcPr>
            <w:tcW w:w="1520" w:type="dxa"/>
            <w:gridSpan w:val="2"/>
            <w:vAlign w:val="center"/>
          </w:tcPr>
          <w:p>
            <w:pPr>
              <w:spacing w:line="380" w:lineRule="exact"/>
              <w:jc w:val="center"/>
              <w:rPr>
                <w:rFonts w:ascii="宋体" w:cs="宋体"/>
                <w:b/>
                <w:szCs w:val="21"/>
              </w:rPr>
            </w:pPr>
            <w:r>
              <w:rPr>
                <w:rFonts w:hint="eastAsia" w:ascii="宋体" w:hAnsi="宋体" w:cs="宋体"/>
                <w:b/>
                <w:szCs w:val="21"/>
              </w:rPr>
              <w:t>起止日期</w:t>
            </w:r>
          </w:p>
        </w:tc>
        <w:tc>
          <w:tcPr>
            <w:tcW w:w="4074" w:type="dxa"/>
            <w:gridSpan w:val="7"/>
          </w:tcPr>
          <w:p>
            <w:pPr>
              <w:spacing w:line="440" w:lineRule="exact"/>
              <w:ind w:left="210" w:leftChars="100"/>
              <w:jc w:val="center"/>
              <w:rPr>
                <w:rFonts w:ascii="宋体" w:cs="宋体"/>
                <w:b/>
                <w:szCs w:val="21"/>
              </w:rPr>
            </w:pPr>
            <w:r>
              <w:rPr>
                <w:rFonts w:hint="eastAsia" w:ascii="宋体" w:hAnsi="宋体" w:cs="宋体"/>
                <w:b/>
                <w:szCs w:val="21"/>
              </w:rPr>
              <w:t>工作内容</w:t>
            </w:r>
          </w:p>
        </w:tc>
        <w:tc>
          <w:tcPr>
            <w:tcW w:w="2596" w:type="dxa"/>
            <w:gridSpan w:val="4"/>
          </w:tcPr>
          <w:p>
            <w:pPr>
              <w:spacing w:line="380" w:lineRule="exact"/>
              <w:ind w:left="210" w:leftChars="100"/>
              <w:jc w:val="center"/>
              <w:rPr>
                <w:rFonts w:ascii="宋体" w:cs="宋体"/>
                <w:b/>
                <w:szCs w:val="21"/>
              </w:rPr>
            </w:pPr>
            <w:r>
              <w:rPr>
                <w:rFonts w:hint="eastAsia" w:ascii="宋体" w:hAnsi="宋体" w:cs="宋体"/>
                <w:b/>
                <w:szCs w:val="21"/>
              </w:rPr>
              <w:t>阶段成果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685" w:hRule="atLeast"/>
        </w:trPr>
        <w:tc>
          <w:tcPr>
            <w:tcW w:w="691" w:type="dxa"/>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bCs/>
                <w:szCs w:val="21"/>
              </w:rPr>
              <w:t>1</w:t>
            </w:r>
          </w:p>
        </w:tc>
        <w:tc>
          <w:tcPr>
            <w:tcW w:w="1520" w:type="dxa"/>
            <w:gridSpan w:val="2"/>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szCs w:val="21"/>
              </w:rPr>
              <w:t>2015.11.23—2016.5.1</w:t>
            </w:r>
          </w:p>
        </w:tc>
        <w:tc>
          <w:tcPr>
            <w:tcW w:w="4074" w:type="dxa"/>
            <w:gridSpan w:val="7"/>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210" w:firstLineChars="100"/>
              <w:textAlignment w:val="auto"/>
              <w:outlineLvl w:val="9"/>
              <w:rPr>
                <w:rFonts w:ascii="宋体" w:cs="宋体"/>
                <w:bCs/>
                <w:szCs w:val="21"/>
              </w:rPr>
            </w:pPr>
            <w:r>
              <w:rPr>
                <w:rFonts w:hint="eastAsia" w:ascii="宋体" w:hAnsi="宋体" w:cs="宋体"/>
                <w:szCs w:val="21"/>
              </w:rPr>
              <w:t>老师指导学生选题，写作开题报告和论文提纲；学生参加论文开题。</w:t>
            </w:r>
          </w:p>
        </w:tc>
        <w:tc>
          <w:tcPr>
            <w:tcW w:w="2596" w:type="dxa"/>
            <w:gridSpan w:val="4"/>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szCs w:val="21"/>
              </w:rPr>
            </w:pPr>
            <w:r>
              <w:rPr>
                <w:rFonts w:hint="eastAsia" w:ascii="宋体" w:hAnsi="宋体" w:cs="宋体"/>
                <w:szCs w:val="21"/>
              </w:rPr>
              <w:t>论文提纲和开题报告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625" w:hRule="atLeast"/>
        </w:trPr>
        <w:tc>
          <w:tcPr>
            <w:tcW w:w="691" w:type="dxa"/>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bCs/>
                <w:szCs w:val="21"/>
              </w:rPr>
              <w:t>2</w:t>
            </w:r>
          </w:p>
        </w:tc>
        <w:tc>
          <w:tcPr>
            <w:tcW w:w="1520" w:type="dxa"/>
            <w:gridSpan w:val="2"/>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szCs w:val="21"/>
              </w:rPr>
            </w:pPr>
            <w:r>
              <w:rPr>
                <w:rFonts w:ascii="宋体" w:hAnsi="宋体" w:cs="宋体"/>
                <w:szCs w:val="21"/>
              </w:rPr>
              <w:t>2016.5.2</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szCs w:val="21"/>
              </w:rPr>
              <w:t>—5.22</w:t>
            </w:r>
          </w:p>
        </w:tc>
        <w:tc>
          <w:tcPr>
            <w:tcW w:w="4074" w:type="dxa"/>
            <w:gridSpan w:val="7"/>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210" w:firstLineChars="100"/>
              <w:textAlignment w:val="auto"/>
              <w:outlineLvl w:val="9"/>
              <w:rPr>
                <w:rFonts w:ascii="宋体" w:cs="宋体"/>
                <w:bCs/>
                <w:szCs w:val="21"/>
              </w:rPr>
            </w:pPr>
            <w:r>
              <w:rPr>
                <w:rFonts w:hint="eastAsia" w:ascii="宋体" w:hAnsi="宋体" w:cs="宋体"/>
                <w:szCs w:val="21"/>
              </w:rPr>
              <w:t>学生修改开题报告和论文提纲，完成论文初稿，交由指导老师批改。</w:t>
            </w:r>
          </w:p>
        </w:tc>
        <w:tc>
          <w:tcPr>
            <w:tcW w:w="2596" w:type="dxa"/>
            <w:gridSpan w:val="4"/>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szCs w:val="21"/>
              </w:rPr>
            </w:pPr>
            <w:r>
              <w:rPr>
                <w:rFonts w:hint="eastAsia" w:ascii="宋体" w:hAnsi="宋体" w:cs="宋体"/>
                <w:szCs w:val="21"/>
              </w:rPr>
              <w:t>论文初稿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640" w:hRule="atLeast"/>
        </w:trPr>
        <w:tc>
          <w:tcPr>
            <w:tcW w:w="691" w:type="dxa"/>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bCs/>
                <w:szCs w:val="21"/>
              </w:rPr>
              <w:t>3</w:t>
            </w:r>
          </w:p>
        </w:tc>
        <w:tc>
          <w:tcPr>
            <w:tcW w:w="1520" w:type="dxa"/>
            <w:gridSpan w:val="2"/>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szCs w:val="21"/>
              </w:rPr>
            </w:pPr>
            <w:r>
              <w:rPr>
                <w:rFonts w:ascii="宋体" w:hAnsi="宋体" w:cs="宋体"/>
                <w:szCs w:val="21"/>
              </w:rPr>
              <w:t>2016.5.23</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szCs w:val="21"/>
              </w:rPr>
              <w:t>—6.5</w:t>
            </w:r>
          </w:p>
        </w:tc>
        <w:tc>
          <w:tcPr>
            <w:tcW w:w="4074" w:type="dxa"/>
            <w:gridSpan w:val="7"/>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210" w:firstLineChars="100"/>
              <w:textAlignment w:val="auto"/>
              <w:outlineLvl w:val="9"/>
              <w:rPr>
                <w:rFonts w:ascii="宋体" w:cs="宋体"/>
                <w:bCs/>
                <w:szCs w:val="21"/>
              </w:rPr>
            </w:pPr>
            <w:r>
              <w:rPr>
                <w:rFonts w:hint="eastAsia" w:ascii="宋体" w:hAnsi="宋体" w:cs="宋体"/>
                <w:szCs w:val="21"/>
              </w:rPr>
              <w:t>学生根据指导老师的修改意见，完成论文二稿，交由指导老师批改。</w:t>
            </w:r>
          </w:p>
        </w:tc>
        <w:tc>
          <w:tcPr>
            <w:tcW w:w="2596" w:type="dxa"/>
            <w:gridSpan w:val="4"/>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hint="eastAsia" w:ascii="宋体" w:hAnsi="宋体" w:cs="宋体"/>
                <w:szCs w:val="21"/>
              </w:rPr>
              <w:t>论文二稿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640" w:hRule="atLeast"/>
        </w:trPr>
        <w:tc>
          <w:tcPr>
            <w:tcW w:w="691" w:type="dxa"/>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bCs/>
                <w:szCs w:val="21"/>
              </w:rPr>
              <w:t>4</w:t>
            </w:r>
          </w:p>
        </w:tc>
        <w:tc>
          <w:tcPr>
            <w:tcW w:w="1520" w:type="dxa"/>
            <w:gridSpan w:val="2"/>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szCs w:val="21"/>
              </w:rPr>
            </w:pPr>
            <w:r>
              <w:rPr>
                <w:rFonts w:ascii="宋体" w:hAnsi="宋体" w:cs="宋体"/>
                <w:szCs w:val="21"/>
              </w:rPr>
              <w:t>2016.6.6</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bCs/>
                <w:szCs w:val="21"/>
              </w:rPr>
            </w:pPr>
            <w:r>
              <w:rPr>
                <w:rFonts w:ascii="宋体" w:hAnsi="宋体" w:cs="宋体"/>
                <w:szCs w:val="21"/>
              </w:rPr>
              <w:t>—6.19</w:t>
            </w:r>
          </w:p>
        </w:tc>
        <w:tc>
          <w:tcPr>
            <w:tcW w:w="4074" w:type="dxa"/>
            <w:gridSpan w:val="7"/>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210" w:firstLineChars="100"/>
              <w:textAlignment w:val="auto"/>
              <w:outlineLvl w:val="9"/>
              <w:rPr>
                <w:rFonts w:ascii="宋体" w:cs="宋体"/>
                <w:bCs/>
                <w:szCs w:val="21"/>
              </w:rPr>
            </w:pPr>
            <w:r>
              <w:rPr>
                <w:rFonts w:hint="eastAsia" w:ascii="宋体" w:hAnsi="宋体" w:cs="宋体"/>
                <w:szCs w:val="21"/>
              </w:rPr>
              <w:t>学生完成论文终稿，交由指导老师审阅；学生按要求检测、打印论文，准备答辩。</w:t>
            </w:r>
          </w:p>
        </w:tc>
        <w:tc>
          <w:tcPr>
            <w:tcW w:w="2596" w:type="dxa"/>
            <w:gridSpan w:val="4"/>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szCs w:val="21"/>
              </w:rPr>
            </w:pPr>
            <w:r>
              <w:rPr>
                <w:rFonts w:hint="eastAsia" w:ascii="宋体" w:hAnsi="宋体" w:cs="宋体"/>
                <w:szCs w:val="21"/>
              </w:rPr>
              <w:t>论文终稿</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ascii="宋体" w:cs="宋体"/>
                <w:szCs w:val="21"/>
              </w:rPr>
            </w:pPr>
            <w:r>
              <w:rPr>
                <w:rFonts w:hint="eastAsia" w:ascii="宋体" w:hAnsi="宋体" w:cs="宋体"/>
                <w:szCs w:val="21"/>
              </w:rPr>
              <w:t>毕业论文答辩材料等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570" w:hRule="atLeast"/>
        </w:trPr>
        <w:tc>
          <w:tcPr>
            <w:tcW w:w="691" w:type="dxa"/>
          </w:tcPr>
          <w:p>
            <w:pPr>
              <w:spacing w:line="380" w:lineRule="exact"/>
              <w:rPr>
                <w:rFonts w:ascii="宋体" w:cs="宋体"/>
                <w:bCs/>
                <w:szCs w:val="21"/>
              </w:rPr>
            </w:pPr>
          </w:p>
        </w:tc>
        <w:tc>
          <w:tcPr>
            <w:tcW w:w="1520" w:type="dxa"/>
            <w:gridSpan w:val="2"/>
          </w:tcPr>
          <w:p>
            <w:pPr>
              <w:spacing w:line="380" w:lineRule="exact"/>
              <w:rPr>
                <w:rFonts w:ascii="宋体" w:cs="宋体"/>
                <w:bCs/>
                <w:szCs w:val="21"/>
              </w:rPr>
            </w:pPr>
          </w:p>
        </w:tc>
        <w:tc>
          <w:tcPr>
            <w:tcW w:w="4074" w:type="dxa"/>
            <w:gridSpan w:val="7"/>
          </w:tcPr>
          <w:p>
            <w:pPr>
              <w:spacing w:line="380" w:lineRule="exact"/>
              <w:rPr>
                <w:rFonts w:ascii="宋体" w:cs="宋体"/>
                <w:bCs/>
                <w:szCs w:val="21"/>
              </w:rPr>
            </w:pPr>
          </w:p>
        </w:tc>
        <w:tc>
          <w:tcPr>
            <w:tcW w:w="2596" w:type="dxa"/>
            <w:gridSpan w:val="4"/>
          </w:tcPr>
          <w:p>
            <w:pPr>
              <w:spacing w:line="380" w:lineRule="exact"/>
              <w:rPr>
                <w:rFonts w:asci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gridAfter w:val="1"/>
          <w:wBefore w:w="60" w:type="dxa"/>
          <w:wAfter w:w="29" w:type="dxa"/>
          <w:trHeight w:val="2457" w:hRule="atLeast"/>
        </w:trPr>
        <w:tc>
          <w:tcPr>
            <w:tcW w:w="8881" w:type="dxa"/>
            <w:gridSpan w:val="14"/>
            <w:vAlign w:val="center"/>
          </w:tcPr>
          <w:p>
            <w:pPr>
              <w:spacing w:line="380" w:lineRule="exact"/>
              <w:rPr>
                <w:rFonts w:ascii="宋体" w:cs="宋体"/>
                <w:b/>
                <w:szCs w:val="21"/>
              </w:rPr>
            </w:pPr>
            <w:r>
              <w:rPr>
                <w:rFonts w:hint="eastAsia" w:ascii="宋体" w:hAnsi="宋体" w:cs="宋体"/>
                <w:b/>
                <w:szCs w:val="21"/>
              </w:rPr>
              <w:t>指导教师意见：</w:t>
            </w:r>
          </w:p>
          <w:p>
            <w:pPr>
              <w:spacing w:line="276" w:lineRule="auto"/>
              <w:rPr>
                <w:rFonts w:ascii="宋体" w:cs="宋体"/>
                <w:szCs w:val="21"/>
              </w:rPr>
            </w:pPr>
          </w:p>
          <w:p>
            <w:pPr>
              <w:spacing w:line="276" w:lineRule="auto"/>
              <w:rPr>
                <w:rFonts w:ascii="宋体" w:cs="宋体"/>
                <w:szCs w:val="21"/>
              </w:rPr>
            </w:pPr>
          </w:p>
          <w:p>
            <w:pPr>
              <w:spacing w:line="276" w:lineRule="auto"/>
              <w:rPr>
                <w:rFonts w:ascii="宋体" w:cs="宋体"/>
                <w:szCs w:val="21"/>
              </w:rPr>
            </w:pPr>
            <w:bookmarkStart w:id="0" w:name="_GoBack"/>
            <w:bookmarkEnd w:id="0"/>
          </w:p>
          <w:p>
            <w:pPr>
              <w:spacing w:line="276" w:lineRule="auto"/>
              <w:rPr>
                <w:rFonts w:ascii="宋体" w:cs="宋体"/>
                <w:szCs w:val="21"/>
              </w:rPr>
            </w:pPr>
          </w:p>
          <w:p>
            <w:pPr>
              <w:spacing w:line="276" w:lineRule="auto"/>
              <w:rPr>
                <w:rFonts w:ascii="宋体" w:cs="宋体"/>
                <w:szCs w:val="21"/>
              </w:rPr>
            </w:pPr>
          </w:p>
          <w:p>
            <w:pPr>
              <w:spacing w:line="380" w:lineRule="exact"/>
              <w:ind w:firstLine="1680" w:firstLineChars="800"/>
              <w:rPr>
                <w:rFonts w:ascii="宋体" w:cs="宋体"/>
                <w:szCs w:val="21"/>
              </w:rPr>
            </w:pPr>
            <w:r>
              <w:rPr>
                <w:rFonts w:hint="eastAsia" w:ascii="宋体" w:hAnsi="宋体" w:cs="宋体"/>
                <w:szCs w:val="21"/>
              </w:rPr>
              <w:t>签字：</w:t>
            </w: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tc>
      </w:tr>
    </w:tbl>
    <w:p>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D48644A"/>
    <w:rsid w:val="00091736"/>
    <w:rsid w:val="001140B3"/>
    <w:rsid w:val="00191EDE"/>
    <w:rsid w:val="004F3B50"/>
    <w:rsid w:val="005144F1"/>
    <w:rsid w:val="006063C9"/>
    <w:rsid w:val="00607EA9"/>
    <w:rsid w:val="007051D6"/>
    <w:rsid w:val="00731474"/>
    <w:rsid w:val="008E5CA8"/>
    <w:rsid w:val="00935CCF"/>
    <w:rsid w:val="00AB2FB0"/>
    <w:rsid w:val="00BA7B3B"/>
    <w:rsid w:val="00DE37E1"/>
    <w:rsid w:val="10AC6EB9"/>
    <w:rsid w:val="1B2A0F72"/>
    <w:rsid w:val="223A4EE9"/>
    <w:rsid w:val="3F3E29A2"/>
    <w:rsid w:val="426D459A"/>
    <w:rsid w:val="502D4347"/>
    <w:rsid w:val="530647F8"/>
    <w:rsid w:val="5FE806C2"/>
    <w:rsid w:val="60C3485F"/>
    <w:rsid w:val="646317C5"/>
    <w:rsid w:val="651D4D5A"/>
    <w:rsid w:val="670A4B5A"/>
    <w:rsid w:val="6D48644A"/>
    <w:rsid w:val="6E3B0844"/>
    <w:rsid w:val="713E6BDA"/>
    <w:rsid w:val="77FC7C1D"/>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4"/>
    <w:link w:val="2"/>
    <w:qFormat/>
    <w:locked/>
    <w:uiPriority w:val="99"/>
    <w:rPr>
      <w:rFonts w:ascii="Times New Roman" w:hAnsi="Times New Roman" w:eastAsia="宋体" w:cs="Times New Roman"/>
      <w:kern w:val="2"/>
      <w:sz w:val="18"/>
      <w:szCs w:val="18"/>
    </w:rPr>
  </w:style>
  <w:style w:type="character" w:customStyle="1" w:styleId="7">
    <w:name w:val="Header Char"/>
    <w:basedOn w:val="4"/>
    <w:link w:val="3"/>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331</Words>
  <Characters>1887</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2016-03-14T01:49:00Z</dcterms:created>
  <dc:creator>Administrator</dc:creator>
  <cp:lastModifiedBy>Administrator</cp:lastModifiedBy>
  <dcterms:modified xsi:type="dcterms:W3CDTF">2016-03-26T09:44:42Z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