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05" w:lineRule="atLeast"/>
        <w:jc w:val="center"/>
        <w:rPr>
          <w:rStyle w:val="4"/>
          <w:rFonts w:ascii="仿宋_GB2312" w:hAnsi="Verdana" w:eastAsia="仿宋_GB2312" w:cs="仿宋_GB2312"/>
          <w:color w:val="000000"/>
          <w:sz w:val="24"/>
          <w:szCs w:val="24"/>
        </w:rPr>
      </w:pPr>
      <w:bookmarkStart w:id="0" w:name="_GoBack"/>
      <w:r>
        <w:rPr>
          <w:rStyle w:val="4"/>
          <w:rFonts w:hint="default" w:ascii="仿宋_GB2312" w:hAnsi="Verdana" w:eastAsia="仿宋_GB2312" w:cs="仿宋_GB2312"/>
          <w:color w:val="000000"/>
          <w:sz w:val="31"/>
          <w:szCs w:val="31"/>
        </w:rPr>
        <w:t>2016年集中评选的各类奖助学金</w:t>
      </w:r>
    </w:p>
    <w:bookmarkEnd w:id="0"/>
    <w:tbl>
      <w:tblPr>
        <w:tblStyle w:val="7"/>
        <w:tblW w:w="9360" w:type="dxa"/>
        <w:tblCellSpacing w:w="0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2880"/>
        <w:gridCol w:w="720"/>
        <w:gridCol w:w="1620"/>
        <w:gridCol w:w="180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</w:pPr>
            <w:r>
              <w:rPr>
                <w:rStyle w:val="4"/>
                <w:rFonts w:ascii="仿宋_GB2312" w:hAnsi="Verdana" w:eastAsia="仿宋_GB2312" w:cs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</w:pPr>
            <w:r>
              <w:rPr>
                <w:rStyle w:val="4"/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项   目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</w:pPr>
            <w:r>
              <w:rPr>
                <w:rStyle w:val="4"/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</w:pPr>
            <w:r>
              <w:rPr>
                <w:rStyle w:val="4"/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奖励额度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</w:pPr>
            <w:r>
              <w:rPr>
                <w:rStyle w:val="4"/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总金额（万元）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</w:pPr>
            <w:r>
              <w:rPr>
                <w:rStyle w:val="4"/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国家奖学金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8000元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45.6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国家励志奖学金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5000元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国家助学金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4605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1档2000元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2档3000元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3档4000元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690.75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按半年预算下达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省政府奖学金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6000元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省政府励志奖学金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5000元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95.5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新疆西藏和青海海北籍少数民族大学生省政府励志奖学金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5000元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学校奖学金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600元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单项奖学金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600元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万承珪、周维金奖学金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一等2800元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二等1800元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一等10人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二等40人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姚福生院士优秀特困生奖学金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一等3000元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二等2500元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三等1800元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9.75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一等8人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二等15人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三等20人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瑞鸿奖学金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一等1000元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二等600元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三等400元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一等5人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二等10人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三等20人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青岛德固特奖学金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5000元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大四学生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富美科技奖学金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一等2000元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二等1000元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一等9人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二等9人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移动通信科技创新奖学金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一等3000元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二等2000元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三等1000元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一等9人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二等19人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三等29人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“青春在线”创新创业奖学金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特等奖≥5万元；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一等3000元；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二等2000元；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特等奖1个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一等奖5个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二等奖15个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博世助学金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5000元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大一特困学生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慈心助学金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2000元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8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姚福生院士特困生助学金</w:t>
            </w:r>
          </w:p>
        </w:tc>
        <w:tc>
          <w:tcPr>
            <w:tcW w:w="7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1000元</w:t>
            </w:r>
          </w:p>
        </w:tc>
        <w:tc>
          <w:tcPr>
            <w:tcW w:w="18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default" w:ascii="仿宋_GB2312" w:hAnsi="Verdana" w:eastAsia="仿宋_GB2312" w:cs="仿宋_GB2312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405" w:lineRule="atLeast"/>
        <w:ind w:left="0" w:firstLine="630"/>
      </w:pPr>
      <w:r>
        <w:rPr>
          <w:rStyle w:val="4"/>
          <w:rFonts w:hint="default" w:ascii="仿宋_GB2312" w:hAnsi="Verdana" w:eastAsia="仿宋_GB2312" w:cs="仿宋_GB2312"/>
          <w:color w:val="000000"/>
          <w:sz w:val="31"/>
          <w:szCs w:val="31"/>
        </w:rPr>
        <w:t>                        合计：2473.75万元</w:t>
      </w:r>
    </w:p>
    <w:p/>
    <w:sectPr>
      <w:pgSz w:w="11906" w:h="16838"/>
      <w:pgMar w:top="1440" w:right="1293" w:bottom="1440" w:left="129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AC00F0"/>
    <w:rsid w:val="4C624C8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333333"/>
      <w:u w:val="none"/>
    </w:rPr>
  </w:style>
  <w:style w:type="character" w:styleId="6">
    <w:name w:val="Hyperlink"/>
    <w:basedOn w:val="3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2016-10-14T14:57:14Z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